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2024 году (за отчетный 2023 год)"</w:t>
              <w:br/>
              <w:t xml:space="preserve">(утв. Минтрудом России)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13.03.2024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jc w:val="center"/>
      </w:pPr>
      <w:r>
        <w:rPr>
          <w:sz w:val="20"/>
        </w:rPr>
        <w:t xml:space="preserve">МИНИСТЕРСТВО ТРУДА И СОЦИАЛЬНОЙ ЗАЩИТЫ РОССИЙСКОЙ ФЕДЕРАЦИИ</w:t>
      </w:r>
    </w:p>
    <w:p>
      <w:pPr>
        <w:pStyle w:val="2"/>
        <w:jc w:val="center"/>
      </w:pPr>
      <w:r>
        <w:rPr>
          <w:sz w:val="20"/>
        </w:rPr>
      </w:r>
    </w:p>
    <w:p>
      <w:pPr>
        <w:pStyle w:val="2"/>
        <w:jc w:val="center"/>
      </w:pPr>
      <w:r>
        <w:rPr>
          <w:sz w:val="20"/>
        </w:rPr>
        <w:t xml:space="preserve">МЕТОДИЧЕСКИЕ РЕКОМЕНДАЦИИ</w:t>
      </w:r>
    </w:p>
    <w:p>
      <w:pPr>
        <w:pStyle w:val="2"/>
        <w:jc w:val="center"/>
      </w:pPr>
      <w:r>
        <w:rPr>
          <w:sz w:val="20"/>
        </w:rPr>
        <w:t xml:space="preserve">ПО ВОПРОСАМ ПРЕДСТАВЛЕНИЯ СВЕДЕНИЙ О ДОХОДАХ, РАСХОДАХ,</w:t>
      </w:r>
    </w:p>
    <w:p>
      <w:pPr>
        <w:pStyle w:val="2"/>
        <w:jc w:val="center"/>
      </w:pPr>
      <w:r>
        <w:rPr>
          <w:sz w:val="20"/>
        </w:rPr>
        <w:t xml:space="preserve">ОБ ИМУЩЕСТВЕ И ОБЯЗАТЕЛЬСТВАХ ИМУЩЕСТВЕННОГО ХАРАКТЕРА</w:t>
      </w:r>
    </w:p>
    <w:p>
      <w:pPr>
        <w:pStyle w:val="2"/>
        <w:jc w:val="center"/>
      </w:pPr>
      <w:r>
        <w:rPr>
          <w:sz w:val="20"/>
        </w:rPr>
        <w:t xml:space="preserve">И ЗАПОЛНЕНИЯ СООТВЕТСТВУЮЩЕЙ ФОРМЫ СПРАВКИ В 2024 ГОДУ</w:t>
      </w:r>
    </w:p>
    <w:p>
      <w:pPr>
        <w:pStyle w:val="2"/>
        <w:jc w:val="center"/>
      </w:pPr>
      <w:r>
        <w:rPr>
          <w:sz w:val="20"/>
        </w:rPr>
        <w:t xml:space="preserve">(ЗА ОТЧЕТНЫЙ 2023 ГОД)</w:t>
      </w:r>
    </w:p>
    <w:p>
      <w:pPr>
        <w:pStyle w:val="0"/>
        <w:jc w:val="both"/>
      </w:pPr>
      <w:r>
        <w:rPr>
          <w:sz w:val="20"/>
        </w:rPr>
      </w:r>
    </w:p>
    <w:p>
      <w:pPr>
        <w:pStyle w:val="0"/>
        <w:ind w:firstLine="540"/>
        <w:jc w:val="both"/>
      </w:pPr>
      <w:r>
        <w:rPr>
          <w:sz w:val="20"/>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pPr>
        <w:pStyle w:val="0"/>
        <w:spacing w:before="200" w:line-rule="auto"/>
        <w:ind w:firstLine="540"/>
        <w:jc w:val="both"/>
      </w:pPr>
      <w:r>
        <w:rPr>
          <w:sz w:val="20"/>
        </w:rPr>
        <w:t xml:space="preserve">В соответствии с </w:t>
      </w:r>
      <w:hyperlink w:history="0" r:id="rId7" w:tooltip="Указ Президента РФ от 02.04.2013 N 309 (ред. от 25.01.2024)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КонсультантПлюс}">
        <w:r>
          <w:rPr>
            <w:sz w:val="20"/>
            <w:color w:val="0000ff"/>
          </w:rPr>
          <w:t xml:space="preserve">пунктом 25</w:t>
        </w:r>
      </w:hyperlink>
      <w:r>
        <w:rPr>
          <w:sz w:val="20"/>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pPr>
        <w:pStyle w:val="0"/>
        <w:spacing w:before="200" w:line-rule="auto"/>
        <w:ind w:firstLine="540"/>
        <w:jc w:val="both"/>
      </w:pPr>
      <w:r>
        <w:rPr>
          <w:sz w:val="20"/>
        </w:rPr>
        <w:t xml:space="preserve">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pPr>
        <w:pStyle w:val="0"/>
        <w:spacing w:before="200" w:line-rule="auto"/>
        <w:ind w:firstLine="540"/>
        <w:jc w:val="both"/>
      </w:pPr>
      <w:r>
        <w:rPr>
          <w:sz w:val="20"/>
        </w:rPr>
        <w:t xml:space="preserve">В свою очередь, исходя из Типового </w:t>
      </w:r>
      <w:hyperlink w:history="0" r:id="rId8"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положения</w:t>
        </w:r>
      </w:hyperlink>
      <w:r>
        <w:rPr>
          <w:sz w:val="20"/>
        </w:rPr>
        <w:t xml:space="preserve"> о подразделении федерального государственного органа по профилактике коррупционных и иных правонарушений и Типового </w:t>
      </w:r>
      <w:hyperlink w:history="0" r:id="rId9"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положения</w:t>
        </w:r>
      </w:hyperlink>
      <w:r>
        <w:rPr>
          <w:sz w:val="20"/>
        </w:rP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pPr>
        <w:pStyle w:val="0"/>
        <w:spacing w:before="200" w:line-rule="auto"/>
        <w:ind w:firstLine="540"/>
        <w:jc w:val="both"/>
      </w:pPr>
      <w:r>
        <w:rPr>
          <w:sz w:val="20"/>
        </w:rP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w:history="0" r:id="rId1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форма</w:t>
        </w:r>
      </w:hyperlink>
      <w:r>
        <w:rPr>
          <w:sz w:val="20"/>
        </w:rP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pPr>
        <w:pStyle w:val="0"/>
        <w:spacing w:before="200" w:line-rule="auto"/>
        <w:ind w:firstLine="540"/>
        <w:jc w:val="both"/>
      </w:pPr>
      <w:r>
        <w:rPr>
          <w:sz w:val="20"/>
        </w:rPr>
        <w:t xml:space="preserve">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pPr>
        <w:pStyle w:val="0"/>
        <w:spacing w:before="200" w:line-rule="auto"/>
        <w:ind w:firstLine="540"/>
        <w:jc w:val="both"/>
      </w:pPr>
      <w:r>
        <w:rPr>
          <w:sz w:val="20"/>
        </w:rPr>
        <w:t xml:space="preserve">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pPr>
        <w:pStyle w:val="0"/>
        <w:jc w:val="both"/>
      </w:pPr>
      <w:r>
        <w:rPr>
          <w:sz w:val="20"/>
        </w:rPr>
      </w:r>
    </w:p>
    <w:p>
      <w:pPr>
        <w:pStyle w:val="2"/>
        <w:outlineLvl w:val="0"/>
        <w:jc w:val="center"/>
      </w:pPr>
      <w:r>
        <w:rPr>
          <w:sz w:val="20"/>
        </w:rPr>
        <w:t xml:space="preserve">I. Представление сведений о доходах, расходах, об имуществе</w:t>
      </w:r>
    </w:p>
    <w:p>
      <w:pPr>
        <w:pStyle w:val="2"/>
        <w:jc w:val="center"/>
      </w:pPr>
      <w:r>
        <w:rPr>
          <w:sz w:val="20"/>
        </w:rPr>
        <w:t xml:space="preserve">и обязательствах имущественного характера</w:t>
      </w:r>
    </w:p>
    <w:p>
      <w:pPr>
        <w:pStyle w:val="0"/>
        <w:jc w:val="both"/>
      </w:pPr>
      <w:r>
        <w:rPr>
          <w:sz w:val="20"/>
        </w:rPr>
      </w:r>
    </w:p>
    <w:p>
      <w:pPr>
        <w:pStyle w:val="0"/>
        <w:ind w:firstLine="540"/>
        <w:jc w:val="both"/>
      </w:pPr>
      <w:r>
        <w:rPr>
          <w:sz w:val="20"/>
        </w:rP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pPr>
        <w:pStyle w:val="0"/>
        <w:jc w:val="both"/>
      </w:pPr>
      <w:r>
        <w:rPr>
          <w:sz w:val="20"/>
        </w:rPr>
      </w:r>
    </w:p>
    <w:p>
      <w:pPr>
        <w:pStyle w:val="2"/>
        <w:outlineLvl w:val="1"/>
        <w:ind w:firstLine="540"/>
        <w:jc w:val="both"/>
      </w:pPr>
      <w:r>
        <w:rPr>
          <w:sz w:val="20"/>
        </w:rPr>
        <w:t xml:space="preserve">Лица, обязанные представлять сведения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pPr>
        <w:pStyle w:val="0"/>
        <w:spacing w:before="200" w:line-rule="auto"/>
        <w:ind w:firstLine="540"/>
        <w:jc w:val="both"/>
      </w:pPr>
      <w:r>
        <w:rPr>
          <w:sz w:val="20"/>
        </w:rP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w:t>
      </w:r>
      <w:hyperlink w:history="0" w:anchor="P25" w:tooltip="2) 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
        <w:r>
          <w:rPr>
            <w:sz w:val="20"/>
            <w:color w:val="0000ff"/>
          </w:rPr>
          <w:t xml:space="preserve">подпункте 2</w:t>
        </w:r>
      </w:hyperlink>
      <w:r>
        <w:rPr>
          <w:sz w:val="20"/>
        </w:rPr>
        <w:t xml:space="preserve"> настоящего пункта);</w:t>
      </w:r>
    </w:p>
    <w:bookmarkStart w:id="25" w:name="P25"/>
    <w:bookmarkEnd w:id="25"/>
    <w:p>
      <w:pPr>
        <w:pStyle w:val="0"/>
        <w:spacing w:before="200" w:line-rule="auto"/>
        <w:ind w:firstLine="540"/>
        <w:jc w:val="both"/>
      </w:pPr>
      <w:r>
        <w:rPr>
          <w:sz w:val="20"/>
        </w:rPr>
        <w:t xml:space="preserve">2) 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w:t>
      </w:r>
      <w:hyperlink w:history="0" r:id="rId11"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pPr>
        <w:pStyle w:val="0"/>
        <w:spacing w:before="200" w:line-rule="auto"/>
        <w:ind w:firstLine="540"/>
        <w:jc w:val="both"/>
      </w:pPr>
      <w:r>
        <w:rPr>
          <w:sz w:val="20"/>
        </w:rPr>
        <w:t xml:space="preserve">В случае, если в течение отчетного периода такие сделки не совершались:</w:t>
      </w:r>
    </w:p>
    <w:p>
      <w:pPr>
        <w:pStyle w:val="0"/>
        <w:spacing w:before="200" w:line-rule="auto"/>
        <w:ind w:firstLine="540"/>
        <w:jc w:val="both"/>
      </w:pPr>
      <w:r>
        <w:rPr>
          <w:sz w:val="20"/>
        </w:rPr>
        <w:t xml:space="preserve">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Дополнительные пояснения содержатся в Инструктивно-методических материалах по отдельным вопросам, связанным с применением положений Федерального </w:t>
      </w:r>
      <w:hyperlink w:history="0" r:id="rId12"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6 февраля 2023 г.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r>
        <w:rPr>
          <w:sz w:val="20"/>
        </w:rPr>
        <w:t xml:space="preserve">https://mintrud.gov.ru/ministry/programms/anticorruption/9/instruktivno-metodicheskie-materialy-po-fz</w:t>
      </w:r>
      <w:r>
        <w:rPr>
          <w:sz w:val="20"/>
        </w:rPr>
        <w:t xml:space="preserve">).</w:t>
      </w:r>
    </w:p>
    <w:p>
      <w:pPr>
        <w:pStyle w:val="0"/>
        <w:spacing w:before="200" w:line-rule="auto"/>
        <w:ind w:firstLine="540"/>
        <w:jc w:val="both"/>
      </w:pPr>
      <w:r>
        <w:rPr>
          <w:sz w:val="20"/>
        </w:rPr>
        <w:t xml:space="preserve">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pPr>
        <w:pStyle w:val="0"/>
        <w:spacing w:before="200" w:line-rule="auto"/>
        <w:ind w:firstLine="540"/>
        <w:jc w:val="both"/>
      </w:pPr>
      <w:r>
        <w:rPr>
          <w:sz w:val="20"/>
        </w:rPr>
        <w:t xml:space="preserve">4) 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pPr>
        <w:pStyle w:val="0"/>
        <w:spacing w:before="200" w:line-rule="auto"/>
        <w:ind w:firstLine="540"/>
        <w:jc w:val="both"/>
      </w:pPr>
      <w:r>
        <w:rPr>
          <w:sz w:val="20"/>
        </w:rPr>
        <w:t xml:space="preserve">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pPr>
        <w:pStyle w:val="0"/>
        <w:spacing w:before="200" w:line-rule="auto"/>
        <w:ind w:firstLine="540"/>
        <w:jc w:val="both"/>
      </w:pPr>
      <w:r>
        <w:rPr>
          <w:sz w:val="20"/>
        </w:rPr>
        <w:t xml:space="preserve">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pPr>
        <w:pStyle w:val="0"/>
        <w:spacing w:before="200" w:line-rule="auto"/>
        <w:ind w:firstLine="540"/>
        <w:jc w:val="both"/>
      </w:pPr>
      <w:r>
        <w:rPr>
          <w:sz w:val="20"/>
        </w:rPr>
        <w:t xml:space="preserve">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pPr>
        <w:pStyle w:val="0"/>
        <w:spacing w:before="200" w:line-rule="auto"/>
        <w:ind w:firstLine="540"/>
        <w:jc w:val="both"/>
      </w:pPr>
      <w:r>
        <w:rPr>
          <w:sz w:val="20"/>
        </w:rPr>
        <w:t xml:space="preserve">8) 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pPr>
        <w:pStyle w:val="0"/>
        <w:spacing w:before="200" w:line-rule="auto"/>
        <w:ind w:firstLine="540"/>
        <w:jc w:val="both"/>
      </w:pPr>
      <w:r>
        <w:rPr>
          <w:sz w:val="20"/>
        </w:rPr>
        <w:t xml:space="preserve">9) иными лицами в соответствии с законодательством Российской Федерации.</w:t>
      </w:r>
    </w:p>
    <w:bookmarkStart w:id="37" w:name="P37"/>
    <w:bookmarkEnd w:id="37"/>
    <w:p>
      <w:pPr>
        <w:pStyle w:val="0"/>
        <w:spacing w:before="200" w:line-rule="auto"/>
        <w:ind w:firstLine="540"/>
        <w:jc w:val="both"/>
      </w:pPr>
      <w:r>
        <w:rPr>
          <w:sz w:val="20"/>
        </w:rPr>
        <w:t xml:space="preserve">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pPr>
        <w:pStyle w:val="0"/>
        <w:spacing w:before="200" w:line-rule="auto"/>
        <w:ind w:firstLine="540"/>
        <w:jc w:val="both"/>
      </w:pPr>
      <w:r>
        <w:rPr>
          <w:sz w:val="20"/>
        </w:rPr>
        <w:t xml:space="preserve">1) государственной должности Российской Федерации, государственной должности субъекта Российской Федерации, муниципальной должности;</w:t>
      </w:r>
    </w:p>
    <w:p>
      <w:pPr>
        <w:pStyle w:val="0"/>
        <w:spacing w:before="200" w:line-rule="auto"/>
        <w:ind w:firstLine="540"/>
        <w:jc w:val="both"/>
      </w:pPr>
      <w:r>
        <w:rPr>
          <w:sz w:val="20"/>
        </w:rPr>
        <w:t xml:space="preserve">2) любой должности государственной службы Российской Федерации (поступающим на службу);</w:t>
      </w:r>
    </w:p>
    <w:p>
      <w:pPr>
        <w:pStyle w:val="0"/>
        <w:spacing w:before="200" w:line-rule="auto"/>
        <w:ind w:firstLine="540"/>
        <w:jc w:val="both"/>
      </w:pPr>
      <w:r>
        <w:rPr>
          <w:sz w:val="20"/>
        </w:rPr>
        <w:t xml:space="preserve">3) должности муниципальной службы, включенной в перечни, утвержденные нормативными правовыми актами Российской Федерации;</w:t>
      </w:r>
    </w:p>
    <w:p>
      <w:pPr>
        <w:pStyle w:val="0"/>
        <w:spacing w:before="200" w:line-rule="auto"/>
        <w:ind w:firstLine="540"/>
        <w:jc w:val="both"/>
      </w:pPr>
      <w:r>
        <w:rPr>
          <w:sz w:val="20"/>
        </w:rPr>
        <w:t xml:space="preserve">4) 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pPr>
        <w:pStyle w:val="0"/>
        <w:spacing w:before="200" w:line-rule="auto"/>
        <w:ind w:firstLine="540"/>
        <w:jc w:val="both"/>
      </w:pPr>
      <w:r>
        <w:rPr>
          <w:sz w:val="20"/>
        </w:rPr>
        <w:t xml:space="preserve">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pPr>
        <w:pStyle w:val="0"/>
        <w:spacing w:before="200" w:line-rule="auto"/>
        <w:ind w:firstLine="540"/>
        <w:jc w:val="both"/>
      </w:pPr>
      <w:r>
        <w:rPr>
          <w:sz w:val="20"/>
        </w:rPr>
        <w:t xml:space="preserve">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pPr>
        <w:pStyle w:val="0"/>
        <w:spacing w:before="200" w:line-rule="auto"/>
        <w:ind w:firstLine="540"/>
        <w:jc w:val="both"/>
      </w:pPr>
      <w:r>
        <w:rPr>
          <w:sz w:val="20"/>
        </w:rPr>
        <w:t xml:space="preserve">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pPr>
        <w:pStyle w:val="0"/>
        <w:spacing w:before="200" w:line-rule="auto"/>
        <w:ind w:firstLine="540"/>
        <w:jc w:val="both"/>
      </w:pPr>
      <w:r>
        <w:rPr>
          <w:sz w:val="20"/>
        </w:rPr>
        <w:t xml:space="preserve">8) 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pPr>
        <w:pStyle w:val="0"/>
        <w:spacing w:before="200" w:line-rule="auto"/>
        <w:ind w:firstLine="540"/>
        <w:jc w:val="both"/>
      </w:pPr>
      <w:r>
        <w:rPr>
          <w:sz w:val="20"/>
        </w:rPr>
        <w:t xml:space="preserve">9) иных должностей в соответствии с законодательством Российской Федерации.</w:t>
      </w:r>
    </w:p>
    <w:p>
      <w:pPr>
        <w:pStyle w:val="0"/>
        <w:spacing w:before="200" w:line-rule="auto"/>
        <w:ind w:firstLine="540"/>
        <w:jc w:val="both"/>
      </w:pPr>
      <w:r>
        <w:rPr>
          <w:sz w:val="20"/>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pPr>
        <w:pStyle w:val="0"/>
        <w:spacing w:before="200" w:line-rule="auto"/>
        <w:ind w:firstLine="540"/>
        <w:jc w:val="both"/>
      </w:pPr>
      <w:r>
        <w:rPr>
          <w:sz w:val="20"/>
        </w:rPr>
        <w:t xml:space="preserve">3. Государственный гражданский служащий Российской Федерации и гражданин, претендующие на включение в федеральный кадровый резерв на государственной гражданской службе Российской Федерации (далее - федеральный кадровый резерв), представляют Сведения при рассмотрении вопроса о включении в названный резерв согласно </w:t>
      </w:r>
      <w:hyperlink w:history="0" r:id="rId13" w:tooltip="Указ Президента РФ от 22.01.2024 N 61 &quot;О федеральном кадровом резерве на государственной гражданской службе Российской Федерации&quot; (вместе с &quot;Положением о федеральном кадровом резерве на государственной гражданской службе Российской Федерации&quot;, &quot;Положением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КонсультантПлюс}">
        <w:r>
          <w:rPr>
            <w:sz w:val="20"/>
            <w:color w:val="0000ff"/>
          </w:rPr>
          <w:t xml:space="preserve">Указу</w:t>
        </w:r>
      </w:hyperlink>
      <w:r>
        <w:rPr>
          <w:sz w:val="20"/>
        </w:rPr>
        <w:t xml:space="preserve"> Президента Российской Федерации от 22 января 2024 г. N 61 "О федеральном кадровом резерве на государственной гражданской службе Российской Федерации" (далее - Указ Президента Российской Федерации N 61).</w:t>
      </w:r>
    </w:p>
    <w:p>
      <w:pPr>
        <w:pStyle w:val="0"/>
        <w:spacing w:before="200" w:line-rule="auto"/>
        <w:ind w:firstLine="540"/>
        <w:jc w:val="both"/>
      </w:pPr>
      <w:r>
        <w:rPr>
          <w:sz w:val="20"/>
        </w:rPr>
        <w:t xml:space="preserve">При заполнении с использованием СПО "Справки БК" титульного </w:t>
      </w:r>
      <w:hyperlink w:history="0" r:id="rId1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листа</w:t>
        </w:r>
      </w:hyperlink>
      <w:r>
        <w:rPr>
          <w:sz w:val="20"/>
        </w:rPr>
        <w:t xml:space="preserve">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pPr>
        <w:pStyle w:val="0"/>
        <w:spacing w:before="200" w:line-rule="auto"/>
        <w:ind w:firstLine="540"/>
        <w:jc w:val="both"/>
      </w:pPr>
      <w:r>
        <w:rPr>
          <w:sz w:val="20"/>
        </w:rPr>
        <w:t xml:space="preserve">При выборе отчетного периода необходимо исходить из того, что 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hyperlink w:history="0" r:id="rId15" w:tooltip="Указ Президента РФ от 22.01.2024 N 61 &quot;О федеральном кадровом резерве на государственной гражданской службе Российской Федерации&quot; (вместе с &quot;Положением о федеральном кадровом резерве на государственной гражданской службе Российской Федерации&quot;, &quot;Положением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КонсультантПлюс}">
        <w:r>
          <w:rPr>
            <w:sz w:val="20"/>
            <w:color w:val="0000ff"/>
          </w:rPr>
          <w:t xml:space="preserve">пункт 4</w:t>
        </w:r>
      </w:hyperlink>
      <w:r>
        <w:rPr>
          <w:sz w:val="20"/>
        </w:rPr>
        <w:t xml:space="preserve"> Положения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N 61).</w:t>
      </w:r>
    </w:p>
    <w:p>
      <w:pPr>
        <w:pStyle w:val="0"/>
        <w:spacing w:before="200" w:line-rule="auto"/>
        <w:ind w:firstLine="540"/>
        <w:jc w:val="both"/>
      </w:pPr>
      <w:r>
        <w:rPr>
          <w:sz w:val="20"/>
        </w:rPr>
        <w:t xml:space="preserve">Если лицо, претендующее на включение в федеральный кадровый резерв, по иным основаниям уже представило </w:t>
      </w:r>
      <w:hyperlink w:history="0" r:id="rId1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за календарный год, предшествующий году представления документов для включения в федеральный кадровый резерв, то дополнительно представлять </w:t>
      </w:r>
      <w:hyperlink w:history="0" r:id="rId1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справку</w:t>
        </w:r>
      </w:hyperlink>
      <w:r>
        <w:rPr>
          <w:sz w:val="20"/>
        </w:rPr>
        <w:t xml:space="preserve"> в соответствии с указанным выше положениями не требуется.</w:t>
      </w:r>
    </w:p>
    <w:p>
      <w:pPr>
        <w:pStyle w:val="0"/>
        <w:jc w:val="both"/>
      </w:pPr>
      <w:r>
        <w:rPr>
          <w:sz w:val="20"/>
        </w:rPr>
      </w:r>
    </w:p>
    <w:p>
      <w:pPr>
        <w:pStyle w:val="2"/>
        <w:outlineLvl w:val="1"/>
        <w:ind w:firstLine="540"/>
        <w:jc w:val="both"/>
      </w:pPr>
      <w:r>
        <w:rPr>
          <w:sz w:val="20"/>
        </w:rPr>
        <w:t xml:space="preserve">Обязательность представления Сведений</w:t>
      </w:r>
    </w:p>
    <w:p>
      <w:pPr>
        <w:pStyle w:val="0"/>
        <w:spacing w:before="200" w:line-rule="auto"/>
        <w:ind w:firstLine="540"/>
        <w:jc w:val="both"/>
      </w:pPr>
      <w:r>
        <w:rPr>
          <w:sz w:val="20"/>
        </w:rPr>
        <w:t xml:space="preserve">4. Лица, претендующие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на основании </w:t>
      </w:r>
      <w:hyperlink w:history="0" r:id="rId18" w:tooltip="Указ Президента РФ от 06.12.2022 N 886 &quot;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quot; (вместе с &quot;Положением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 {КонсультантПлюс}">
        <w:r>
          <w:rPr>
            <w:sz w:val="20"/>
            <w:color w:val="0000ff"/>
          </w:rPr>
          <w:t xml:space="preserve">Указа</w:t>
        </w:r>
      </w:hyperlink>
      <w:r>
        <w:rPr>
          <w:sz w:val="20"/>
        </w:rPr>
        <w:t xml:space="preserve">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2024 года.</w:t>
      </w:r>
    </w:p>
    <w:p>
      <w:pPr>
        <w:pStyle w:val="0"/>
        <w:spacing w:before="200" w:line-rule="auto"/>
        <w:ind w:firstLine="540"/>
        <w:jc w:val="both"/>
      </w:pPr>
      <w:r>
        <w:rPr>
          <w:sz w:val="20"/>
        </w:rPr>
        <w:t xml:space="preserve">5.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w:history="0" r:id="rId19" w:tooltip="Указ Президента РФ от 18.05.2009 N 557 (ред. от 26.02.2024)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перечнем</w:t>
        </w:r>
      </w:hyperlink>
      <w:r>
        <w:rPr>
          <w:sz w:val="20"/>
        </w:rP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pPr>
        <w:pStyle w:val="0"/>
        <w:spacing w:before="200" w:line-rule="auto"/>
        <w:ind w:firstLine="540"/>
        <w:jc w:val="both"/>
      </w:pPr>
      <w:r>
        <w:rPr>
          <w:sz w:val="20"/>
        </w:rPr>
        <w:t xml:space="preserve">6. 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pPr>
        <w:pStyle w:val="0"/>
        <w:spacing w:before="200" w:line-rule="auto"/>
        <w:ind w:firstLine="540"/>
        <w:jc w:val="both"/>
      </w:pPr>
      <w:r>
        <w:rPr>
          <w:sz w:val="20"/>
        </w:rPr>
        <w:t xml:space="preserve">1) 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pPr>
        <w:pStyle w:val="0"/>
        <w:spacing w:before="200" w:line-rule="auto"/>
        <w:ind w:firstLine="540"/>
        <w:jc w:val="both"/>
      </w:pPr>
      <w:r>
        <w:rPr>
          <w:sz w:val="20"/>
        </w:rPr>
        <w:t xml:space="preserve">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w:t>
      </w:r>
    </w:p>
    <w:p>
      <w:pPr>
        <w:pStyle w:val="0"/>
        <w:spacing w:before="200" w:line-rule="auto"/>
        <w:ind w:firstLine="540"/>
        <w:jc w:val="both"/>
      </w:pPr>
      <w:r>
        <w:rPr>
          <w:sz w:val="20"/>
        </w:rPr>
        <w:t xml:space="preserve">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w:t>
      </w:r>
    </w:p>
    <w:p>
      <w:pPr>
        <w:pStyle w:val="0"/>
        <w:spacing w:before="200" w:line-rule="auto"/>
        <w:ind w:firstLine="540"/>
        <w:jc w:val="both"/>
      </w:pPr>
      <w:r>
        <w:rPr>
          <w:sz w:val="20"/>
        </w:rPr>
        <w:t xml:space="preserve">Дополнительные пояснения содержатся в Инструктивно-методических </w:t>
      </w:r>
      <w:hyperlink w:history="0" r:id="rId20" w:tooltip="&lt;Письмо&gt; Минтруда России от 21.03.2023 N 28-6/10/П-2161 &lt;О направлении Инструктивно-методических материалов&gt; (вместе с &quot;Инструктивно-методическими материалами по вопросам реализации Указа Президента Российской Федерации от 29 декабря 2022 г.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материалах</w:t>
        </w:r>
      </w:hyperlink>
      <w:r>
        <w:rPr>
          <w:sz w:val="20"/>
        </w:rPr>
        <w:t xml:space="preserve">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sz w:val="20"/>
        </w:rPr>
        <w:t xml:space="preserve">https://mintrud.gov.ru/ministry/programms/anticorruption/9/23</w:t>
      </w:r>
      <w:r>
        <w:rPr>
          <w:sz w:val="20"/>
        </w:rPr>
        <w:t xml:space="preserve">).</w:t>
      </w:r>
    </w:p>
    <w:p>
      <w:pPr>
        <w:pStyle w:val="0"/>
        <w:spacing w:before="200" w:line-rule="auto"/>
        <w:ind w:firstLine="540"/>
        <w:jc w:val="both"/>
      </w:pPr>
      <w:r>
        <w:rPr>
          <w:sz w:val="20"/>
        </w:rPr>
        <w:t xml:space="preserve">7.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освобождает от обязанности представить Сведения.</w:t>
      </w:r>
    </w:p>
    <w:p>
      <w:pPr>
        <w:pStyle w:val="0"/>
        <w:spacing w:before="200" w:line-rule="auto"/>
        <w:ind w:firstLine="540"/>
        <w:jc w:val="both"/>
      </w:pPr>
      <w:r>
        <w:rPr>
          <w:sz w:val="20"/>
        </w:rPr>
        <w:t xml:space="preserve">8.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pPr>
        <w:pStyle w:val="0"/>
        <w:spacing w:before="200" w:line-rule="auto"/>
        <w:ind w:firstLine="540"/>
        <w:jc w:val="both"/>
      </w:pPr>
      <w:r>
        <w:rPr>
          <w:sz w:val="20"/>
        </w:rPr>
        <w:t xml:space="preserve">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pPr>
        <w:pStyle w:val="0"/>
        <w:spacing w:before="200" w:line-rule="auto"/>
        <w:ind w:firstLine="540"/>
        <w:jc w:val="both"/>
      </w:pPr>
      <w:r>
        <w:rPr>
          <w:sz w:val="20"/>
        </w:rPr>
        <w:t xml:space="preserve">9. Дополнительные пояснения содержатся в Инструктивно-методических </w:t>
      </w:r>
      <w:hyperlink w:history="0" r:id="rId21" w:tooltip="&lt;Письмо&gt; Минтруда России от 21.03.2023 N 28-6/10/П-2161 &lt;О направлении Инструктивно-методических материалов&gt; (вместе с &quot;Инструктивно-методическими материалами по вопросам реализации Указа Президента Российской Федерации от 29 декабря 2022 г.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материалах</w:t>
        </w:r>
      </w:hyperlink>
      <w:r>
        <w:rPr>
          <w:sz w:val="20"/>
        </w:rPr>
        <w:t xml:space="preserve">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sz w:val="20"/>
        </w:rPr>
        <w:t xml:space="preserve">https://mintrud.gov.ru/ministry/programms/anticorruption/9/23</w:t>
      </w:r>
      <w:r>
        <w:rPr>
          <w:sz w:val="20"/>
        </w:rPr>
        <w:t xml:space="preserve">). Лица, призванные на военную службу по мобилизации или заключившие в соответствии с </w:t>
      </w:r>
      <w:hyperlink w:history="0" r:id="rId22" w:tooltip="Федеральный закон от 28.03.1998 N 53-ФЗ (ред. от 25.12.2023) &quot;О воинской обязанности и военной службе&quot; (с изм. и доп., вступ. в силу с 12.03.2024) {КонсультантПлюс}">
        <w:r>
          <w:rPr>
            <w:sz w:val="20"/>
            <w:color w:val="0000ff"/>
          </w:rPr>
          <w:t xml:space="preserve">пунктом 7 статьи 38</w:t>
        </w:r>
      </w:hyperlink>
      <w:r>
        <w:rPr>
          <w:sz w:val="20"/>
        </w:rPr>
        <w:t xml:space="preserve">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pPr>
        <w:pStyle w:val="0"/>
        <w:spacing w:before="200" w:line-rule="auto"/>
        <w:ind w:firstLine="540"/>
        <w:jc w:val="both"/>
      </w:pPr>
      <w:r>
        <w:rPr>
          <w:sz w:val="20"/>
        </w:rPr>
        <w:t xml:space="preserve">10. 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w:history="0" r:id="rId23" w:tooltip="Федеральный закон от 28.03.1998 N 53-ФЗ (ред. от 25.12.2023) &quot;О воинской обязанности и военной службе&quot; (с изм. и доп., вступ. в силу с 12.03.2024) {КонсультантПлюс}">
        <w:r>
          <w:rPr>
            <w:sz w:val="20"/>
            <w:color w:val="0000ff"/>
          </w:rPr>
          <w:t xml:space="preserve">пунктом 7 статьи 38</w:t>
        </w:r>
      </w:hyperlink>
      <w:r>
        <w:rPr>
          <w:sz w:val="20"/>
        </w:rP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bookmarkStart w:id="66" w:name="P66"/>
    <w:bookmarkEnd w:id="66"/>
    <w:p>
      <w:pPr>
        <w:pStyle w:val="0"/>
        <w:spacing w:before="200" w:line-rule="auto"/>
        <w:ind w:firstLine="540"/>
        <w:jc w:val="both"/>
      </w:pPr>
      <w:r>
        <w:rPr>
          <w:sz w:val="20"/>
        </w:rPr>
        <w:t xml:space="preserve">11.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history="0" w:anchor="P73" w:tooltip="13. Служащие (работники) представляют Сведения ежегодно в следующие сроки:">
        <w:r>
          <w:rPr>
            <w:sz w:val="20"/>
            <w:color w:val="0000ff"/>
          </w:rPr>
          <w:t xml:space="preserve">пункте 13</w:t>
        </w:r>
      </w:hyperlink>
      <w:r>
        <w:rPr>
          <w:sz w:val="20"/>
        </w:rPr>
        <w:t xml:space="preserve"> настоящих Методических рекомендаций.</w:t>
      </w:r>
    </w:p>
    <w:p>
      <w:pPr>
        <w:pStyle w:val="0"/>
        <w:jc w:val="both"/>
      </w:pPr>
      <w:r>
        <w:rPr>
          <w:sz w:val="20"/>
        </w:rPr>
      </w:r>
    </w:p>
    <w:p>
      <w:pPr>
        <w:pStyle w:val="2"/>
        <w:outlineLvl w:val="1"/>
        <w:ind w:firstLine="540"/>
        <w:jc w:val="both"/>
      </w:pPr>
      <w:r>
        <w:rPr>
          <w:sz w:val="20"/>
        </w:rPr>
        <w:t xml:space="preserve">Сроки представления Сведений</w:t>
      </w:r>
    </w:p>
    <w:p>
      <w:pPr>
        <w:pStyle w:val="0"/>
        <w:spacing w:before="200" w:line-rule="auto"/>
        <w:ind w:firstLine="540"/>
        <w:jc w:val="both"/>
      </w:pPr>
      <w:r>
        <w:rPr>
          <w:sz w:val="20"/>
        </w:rPr>
        <w:t xml:space="preserve">12. Граждане представляют Сведения (без заполнения </w:t>
      </w:r>
      <w:hyperlink w:history="0" r:id="rId2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 2</w:t>
        </w:r>
      </w:hyperlink>
      <w:r>
        <w:rPr>
          <w:sz w:val="20"/>
        </w:rP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pPr>
        <w:pStyle w:val="0"/>
        <w:spacing w:before="200" w:line-rule="auto"/>
        <w:ind w:firstLine="540"/>
        <w:jc w:val="both"/>
      </w:pPr>
      <w:r>
        <w:rPr>
          <w:sz w:val="20"/>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pPr>
        <w:pStyle w:val="0"/>
        <w:spacing w:before="200" w:line-rule="auto"/>
        <w:ind w:firstLine="540"/>
        <w:jc w:val="both"/>
      </w:pPr>
      <w:r>
        <w:rPr>
          <w:sz w:val="20"/>
        </w:rPr>
        <w:t xml:space="preserve">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pPr>
        <w:pStyle w:val="0"/>
        <w:spacing w:before="200" w:line-rule="auto"/>
        <w:ind w:firstLine="540"/>
        <w:jc w:val="both"/>
      </w:pPr>
      <w:r>
        <w:rPr>
          <w:sz w:val="20"/>
        </w:rPr>
        <w:t xml:space="preserve">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bookmarkStart w:id="73" w:name="P73"/>
    <w:bookmarkEnd w:id="73"/>
    <w:p>
      <w:pPr>
        <w:pStyle w:val="0"/>
        <w:spacing w:before="200" w:line-rule="auto"/>
        <w:ind w:firstLine="540"/>
        <w:jc w:val="both"/>
      </w:pPr>
      <w:r>
        <w:rPr>
          <w:sz w:val="20"/>
        </w:rPr>
        <w:t xml:space="preserve">13. Служащие (работники) представляют Сведения ежегодно в следующие сроки:</w:t>
      </w:r>
    </w:p>
    <w:p>
      <w:pPr>
        <w:pStyle w:val="0"/>
        <w:spacing w:before="200" w:line-rule="auto"/>
        <w:ind w:firstLine="540"/>
        <w:jc w:val="both"/>
      </w:pPr>
      <w:r>
        <w:rPr>
          <w:sz w:val="20"/>
        </w:rPr>
        <w:t xml:space="preserve">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pPr>
        <w:pStyle w:val="0"/>
        <w:spacing w:before="200" w:line-rule="auto"/>
        <w:ind w:firstLine="540"/>
        <w:jc w:val="both"/>
      </w:pPr>
      <w:r>
        <w:rPr>
          <w:sz w:val="20"/>
        </w:rPr>
        <w:t xml:space="preserve">2) 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pPr>
        <w:pStyle w:val="0"/>
        <w:spacing w:before="200" w:line-rule="auto"/>
        <w:ind w:firstLine="540"/>
        <w:jc w:val="both"/>
      </w:pPr>
      <w:r>
        <w:rPr>
          <w:sz w:val="20"/>
        </w:rPr>
        <w:t xml:space="preserve">14. Сведения могут быть представлены служащим (работником) в любое время, начиная с 1 января года, следующего за отчетным.</w:t>
      </w:r>
    </w:p>
    <w:p>
      <w:pPr>
        <w:pStyle w:val="0"/>
        <w:spacing w:before="200" w:line-rule="auto"/>
        <w:ind w:firstLine="540"/>
        <w:jc w:val="both"/>
      </w:pPr>
      <w:r>
        <w:rPr>
          <w:sz w:val="20"/>
        </w:rPr>
        <w:t xml:space="preserve">15.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pPr>
        <w:pStyle w:val="0"/>
        <w:spacing w:before="200" w:line-rule="auto"/>
        <w:ind w:firstLine="540"/>
        <w:jc w:val="both"/>
      </w:pPr>
      <w:r>
        <w:rPr>
          <w:sz w:val="20"/>
        </w:rPr>
        <w:t xml:space="preserve">16.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history="0" w:anchor="P66" w:tooltip="11.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13 настоящих Методических рекомендаций.">
        <w:r>
          <w:rPr>
            <w:sz w:val="20"/>
            <w:color w:val="0000ff"/>
          </w:rPr>
          <w:t xml:space="preserve">пункте 11</w:t>
        </w:r>
      </w:hyperlink>
      <w:r>
        <w:rPr>
          <w:sz w:val="20"/>
        </w:rPr>
        <w:t xml:space="preserve"> настоящих Методический рекомендаций.</w:t>
      </w:r>
    </w:p>
    <w:p>
      <w:pPr>
        <w:pStyle w:val="0"/>
        <w:spacing w:before="200" w:line-rule="auto"/>
        <w:ind w:firstLine="540"/>
        <w:jc w:val="both"/>
      </w:pPr>
      <w:r>
        <w:rPr>
          <w:sz w:val="20"/>
        </w:rPr>
        <w:t xml:space="preserve">Нерабочий день не является основанием для переноса срока представления Сведений.</w:t>
      </w:r>
    </w:p>
    <w:p>
      <w:pPr>
        <w:pStyle w:val="0"/>
        <w:spacing w:before="200" w:line-rule="auto"/>
        <w:ind w:firstLine="540"/>
        <w:jc w:val="both"/>
      </w:pPr>
      <w:r>
        <w:rPr>
          <w:sz w:val="20"/>
        </w:rPr>
        <w:t xml:space="preserve">17.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pPr>
        <w:pStyle w:val="0"/>
        <w:jc w:val="both"/>
      </w:pPr>
      <w:r>
        <w:rPr>
          <w:sz w:val="20"/>
        </w:rPr>
      </w:r>
    </w:p>
    <w:p>
      <w:pPr>
        <w:pStyle w:val="2"/>
        <w:outlineLvl w:val="1"/>
        <w:ind w:firstLine="540"/>
        <w:jc w:val="both"/>
      </w:pPr>
      <w:r>
        <w:rPr>
          <w:sz w:val="20"/>
        </w:rPr>
        <w:t xml:space="preserve">Лица, в отношении которых представляются Сведения</w:t>
      </w:r>
    </w:p>
    <w:p>
      <w:pPr>
        <w:pStyle w:val="0"/>
        <w:spacing w:before="200" w:line-rule="auto"/>
        <w:ind w:firstLine="540"/>
        <w:jc w:val="both"/>
      </w:pPr>
      <w:r>
        <w:rPr>
          <w:sz w:val="20"/>
        </w:rPr>
        <w:t xml:space="preserve">18. Сведения представляются отдельно:</w:t>
      </w:r>
    </w:p>
    <w:p>
      <w:pPr>
        <w:pStyle w:val="0"/>
        <w:spacing w:before="200" w:line-rule="auto"/>
        <w:ind w:firstLine="540"/>
        <w:jc w:val="both"/>
      </w:pPr>
      <w:r>
        <w:rPr>
          <w:sz w:val="20"/>
        </w:rPr>
        <w:t xml:space="preserve">1) в отношении служащего (работника),</w:t>
      </w:r>
    </w:p>
    <w:p>
      <w:pPr>
        <w:pStyle w:val="0"/>
        <w:spacing w:before="200" w:line-rule="auto"/>
        <w:ind w:firstLine="540"/>
        <w:jc w:val="both"/>
      </w:pPr>
      <w:r>
        <w:rPr>
          <w:sz w:val="20"/>
        </w:rPr>
        <w:t xml:space="preserve">2) в отношении его супруги (супруга),</w:t>
      </w:r>
    </w:p>
    <w:p>
      <w:pPr>
        <w:pStyle w:val="0"/>
        <w:spacing w:before="200" w:line-rule="auto"/>
        <w:ind w:firstLine="540"/>
        <w:jc w:val="both"/>
      </w:pPr>
      <w:r>
        <w:rPr>
          <w:sz w:val="20"/>
        </w:rPr>
        <w:t xml:space="preserve">3) в отношении каждого несовершеннолетнего ребенка служащего (работника).</w:t>
      </w:r>
    </w:p>
    <w:p>
      <w:pPr>
        <w:pStyle w:val="0"/>
        <w:spacing w:before="200" w:line-rule="auto"/>
        <w:ind w:firstLine="540"/>
        <w:jc w:val="both"/>
      </w:pPr>
      <w:r>
        <w:rPr>
          <w:sz w:val="20"/>
        </w:rPr>
        <w:t xml:space="preserve">Например, служащий (работник), имеющий супругу и двоих несовершеннолетних детей, обязан представить четыре </w:t>
      </w:r>
      <w:hyperlink w:history="0" r:id="rId2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w:history="0" r:id="rId2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w:t>
      </w:r>
    </w:p>
    <w:p>
      <w:pPr>
        <w:pStyle w:val="0"/>
        <w:spacing w:before="200" w:line-rule="auto"/>
        <w:ind w:firstLine="540"/>
        <w:jc w:val="both"/>
      </w:pPr>
      <w:r>
        <w:rPr>
          <w:sz w:val="20"/>
        </w:rPr>
        <w:t xml:space="preserve">19. Отчетный период и отчетная дата представления Сведений, установленные для граждан и служащих (работников), различны:</w:t>
      </w:r>
    </w:p>
    <w:bookmarkStart w:id="89" w:name="P89"/>
    <w:bookmarkEnd w:id="89"/>
    <w:p>
      <w:pPr>
        <w:pStyle w:val="0"/>
        <w:spacing w:before="200" w:line-rule="auto"/>
        <w:ind w:firstLine="540"/>
        <w:jc w:val="both"/>
      </w:pPr>
      <w:r>
        <w:rPr>
          <w:sz w:val="20"/>
        </w:rPr>
        <w:t xml:space="preserve">1) гражданин представляет:</w:t>
      </w:r>
    </w:p>
    <w:p>
      <w:pPr>
        <w:pStyle w:val="0"/>
        <w:spacing w:before="200" w:line-rule="auto"/>
        <w:ind w:firstLine="540"/>
        <w:jc w:val="both"/>
      </w:pPr>
      <w:r>
        <w:rPr>
          <w:sz w:val="20"/>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pPr>
        <w:pStyle w:val="0"/>
        <w:spacing w:before="200" w:line-rule="auto"/>
        <w:ind w:firstLine="540"/>
        <w:jc w:val="both"/>
      </w:pPr>
      <w:r>
        <w:rPr>
          <w:sz w:val="20"/>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pPr>
        <w:pStyle w:val="0"/>
        <w:spacing w:before="200" w:line-rule="auto"/>
        <w:ind w:firstLine="540"/>
        <w:jc w:val="both"/>
      </w:pPr>
      <w:r>
        <w:rPr>
          <w:sz w:val="20"/>
        </w:rPr>
        <w:t xml:space="preserve">2) служащий (работник) представляет ежегодно:</w:t>
      </w:r>
    </w:p>
    <w:p>
      <w:pPr>
        <w:pStyle w:val="0"/>
        <w:spacing w:before="200" w:line-rule="auto"/>
        <w:ind w:firstLine="540"/>
        <w:jc w:val="both"/>
      </w:pPr>
      <w:r>
        <w:rPr>
          <w:sz w:val="20"/>
        </w:rPr>
        <w:t xml:space="preserve">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pPr>
        <w:pStyle w:val="0"/>
        <w:spacing w:before="200" w:line-rule="auto"/>
        <w:ind w:firstLine="540"/>
        <w:jc w:val="both"/>
      </w:pPr>
      <w:r>
        <w:rPr>
          <w:sz w:val="20"/>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pPr>
        <w:pStyle w:val="0"/>
        <w:spacing w:before="200" w:line-rule="auto"/>
        <w:ind w:firstLine="540"/>
        <w:jc w:val="both"/>
      </w:pPr>
      <w:r>
        <w:rPr>
          <w:sz w:val="20"/>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pPr>
        <w:pStyle w:val="0"/>
        <w:spacing w:before="200" w:line-rule="auto"/>
        <w:ind w:firstLine="540"/>
        <w:jc w:val="both"/>
      </w:pPr>
      <w:r>
        <w:rPr>
          <w:sz w:val="20"/>
        </w:rPr>
        <w:t xml:space="preserve">20. Необходимо учитывать, что дата печати </w:t>
      </w:r>
      <w:hyperlink w:history="0" r:id="rId2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w:t>
      </w:r>
      <w:hyperlink w:history="0" r:id="rId2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p>
    <w:p>
      <w:pPr>
        <w:pStyle w:val="0"/>
        <w:spacing w:before="200" w:line-rule="auto"/>
        <w:ind w:firstLine="540"/>
        <w:jc w:val="both"/>
      </w:pPr>
      <w:r>
        <w:rPr>
          <w:sz w:val="20"/>
        </w:rPr>
        <w:t xml:space="preserve">21.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w:history="0" w:anchor="P89" w:tooltip="1) гражданин представляет:">
        <w:r>
          <w:rPr>
            <w:sz w:val="20"/>
            <w:color w:val="0000ff"/>
          </w:rPr>
          <w:t xml:space="preserve">подпункта 1 пункта 19</w:t>
        </w:r>
      </w:hyperlink>
      <w:r>
        <w:rPr>
          <w:sz w:val="20"/>
        </w:rPr>
        <w:t xml:space="preserve"> настоящих Методических рекомендаций.</w:t>
      </w:r>
    </w:p>
    <w:p>
      <w:pPr>
        <w:pStyle w:val="0"/>
        <w:jc w:val="both"/>
      </w:pPr>
      <w:r>
        <w:rPr>
          <w:sz w:val="20"/>
        </w:rPr>
      </w:r>
    </w:p>
    <w:p>
      <w:pPr>
        <w:pStyle w:val="2"/>
        <w:outlineLvl w:val="1"/>
        <w:ind w:firstLine="540"/>
        <w:jc w:val="both"/>
      </w:pPr>
      <w:r>
        <w:rPr>
          <w:sz w:val="20"/>
        </w:rPr>
        <w:t xml:space="preserve">Замещение конкретной должности на отчетную дату как основание для представления Сведений</w:t>
      </w:r>
    </w:p>
    <w:p>
      <w:pPr>
        <w:pStyle w:val="0"/>
        <w:spacing w:before="200" w:line-rule="auto"/>
        <w:ind w:firstLine="540"/>
        <w:jc w:val="both"/>
      </w:pPr>
      <w:r>
        <w:rPr>
          <w:sz w:val="20"/>
        </w:rPr>
        <w:t xml:space="preserve">22.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pPr>
        <w:pStyle w:val="0"/>
        <w:spacing w:before="200" w:line-rule="auto"/>
        <w:ind w:firstLine="540"/>
        <w:jc w:val="both"/>
      </w:pPr>
      <w:r>
        <w:rPr>
          <w:sz w:val="20"/>
        </w:rPr>
        <w:t xml:space="preserve">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pPr>
        <w:pStyle w:val="0"/>
        <w:spacing w:before="200" w:line-rule="auto"/>
        <w:ind w:firstLine="540"/>
        <w:jc w:val="both"/>
      </w:pPr>
      <w:r>
        <w:rPr>
          <w:sz w:val="20"/>
        </w:rPr>
        <w:t xml:space="preserve">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pPr>
        <w:pStyle w:val="0"/>
        <w:spacing w:before="200" w:line-rule="auto"/>
        <w:ind w:firstLine="540"/>
        <w:jc w:val="both"/>
      </w:pPr>
      <w:r>
        <w:rPr>
          <w:sz w:val="20"/>
        </w:rPr>
        <w:t xml:space="preserve">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pPr>
        <w:pStyle w:val="0"/>
        <w:spacing w:before="200" w:line-rule="auto"/>
        <w:ind w:firstLine="540"/>
        <w:jc w:val="both"/>
      </w:pPr>
      <w:r>
        <w:rPr>
          <w:sz w:val="20"/>
        </w:rP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w:history="0" r:id="rId29" w:tooltip="Указ Президента РФ от 18.05.2009 N 558 (ред. от 26.06.2023)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 {КонсультантПлюс}">
        <w:r>
          <w:rPr>
            <w:sz w:val="20"/>
            <w:color w:val="0000ff"/>
          </w:rPr>
          <w:t xml:space="preserve">Положение</w:t>
        </w:r>
      </w:hyperlink>
      <w:r>
        <w:rPr>
          <w:sz w:val="20"/>
        </w:rP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pPr>
        <w:pStyle w:val="0"/>
        <w:spacing w:before="200" w:line-rule="auto"/>
        <w:ind w:firstLine="540"/>
        <w:jc w:val="both"/>
      </w:pPr>
      <w:r>
        <w:rPr>
          <w:sz w:val="20"/>
        </w:rPr>
        <w:t xml:space="preserve">23. Представление Сведений после увольнения служащего (работника) в период с 1 января по 1 (30) апреля 2024 г. не требуется.</w:t>
      </w:r>
    </w:p>
    <w:p>
      <w:pPr>
        <w:pStyle w:val="0"/>
        <w:spacing w:before="200" w:line-rule="auto"/>
        <w:ind w:firstLine="540"/>
        <w:jc w:val="both"/>
      </w:pPr>
      <w:r>
        <w:rPr>
          <w:sz w:val="20"/>
        </w:rPr>
        <w:t xml:space="preserve">24.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w:history="0" r:id="rId3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справка</w:t>
        </w:r>
      </w:hyperlink>
      <w:r>
        <w:rPr>
          <w:sz w:val="20"/>
        </w:rPr>
        <w:t xml:space="preserve"> с указанием обеих должностей.</w:t>
      </w:r>
    </w:p>
    <w:p>
      <w:pPr>
        <w:pStyle w:val="0"/>
        <w:spacing w:before="200" w:line-rule="auto"/>
        <w:ind w:firstLine="540"/>
        <w:jc w:val="both"/>
      </w:pPr>
      <w:r>
        <w:rPr>
          <w:sz w:val="20"/>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w:history="0" r:id="rId3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(заполняются отдельно для каждой должности). Количество справок, представляемых в отношении членов семьи, не меняется.</w:t>
      </w:r>
    </w:p>
    <w:p>
      <w:pPr>
        <w:pStyle w:val="0"/>
        <w:spacing w:before="200" w:line-rule="auto"/>
        <w:ind w:firstLine="540"/>
        <w:jc w:val="both"/>
      </w:pPr>
      <w:r>
        <w:rPr>
          <w:sz w:val="20"/>
        </w:rPr>
        <w:t xml:space="preserve">Члены Совета федеральной территории "Сириус" представляют </w:t>
      </w:r>
      <w:hyperlink w:history="0" r:id="rId3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w:history="0" r:id="rId33" w:tooltip="Федеральный закон от 22.12.2020 N 437-ФЗ (ред. от 31.07.2023) &quot;О федеральной территории &quot;Сириус&quot; {КонсультантПлюс}">
        <w:r>
          <w:rPr>
            <w:sz w:val="20"/>
            <w:color w:val="0000ff"/>
          </w:rPr>
          <w:t xml:space="preserve">часть 9 статьи 12</w:t>
        </w:r>
      </w:hyperlink>
      <w:r>
        <w:rPr>
          <w:sz w:val="20"/>
        </w:rPr>
        <w:t xml:space="preserve"> Федерального закона от 22 декабря 2020 г. N 437-ФЗ "О федеральной территории "Сириус").</w:t>
      </w:r>
    </w:p>
    <w:p>
      <w:pPr>
        <w:pStyle w:val="0"/>
        <w:spacing w:before="200" w:line-rule="auto"/>
        <w:ind w:firstLine="540"/>
        <w:jc w:val="both"/>
      </w:pPr>
      <w:r>
        <w:rPr>
          <w:sz w:val="20"/>
        </w:rP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w:t>
      </w:r>
      <w:hyperlink w:history="0" r:id="rId3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листе</w:t>
        </w:r>
      </w:hyperlink>
      <w:r>
        <w:rPr>
          <w:sz w:val="20"/>
        </w:rPr>
        <w:t xml:space="preserve">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pPr>
        <w:pStyle w:val="0"/>
        <w:jc w:val="both"/>
      </w:pPr>
      <w:r>
        <w:rPr>
          <w:sz w:val="20"/>
        </w:rPr>
      </w:r>
    </w:p>
    <w:p>
      <w:pPr>
        <w:pStyle w:val="2"/>
        <w:outlineLvl w:val="1"/>
        <w:ind w:firstLine="540"/>
        <w:jc w:val="both"/>
      </w:pPr>
      <w:r>
        <w:rPr>
          <w:sz w:val="20"/>
        </w:rPr>
        <w:t xml:space="preserve">Определение круга лиц (членов семьи), в отношении которых необходимо представить Сведения</w:t>
      </w:r>
    </w:p>
    <w:p>
      <w:pPr>
        <w:pStyle w:val="0"/>
        <w:spacing w:before="200" w:line-rule="auto"/>
        <w:ind w:firstLine="540"/>
        <w:jc w:val="both"/>
      </w:pPr>
      <w:r>
        <w:rPr>
          <w:sz w:val="20"/>
        </w:rPr>
        <w:t xml:space="preserve">25. Сведения представляются с учетом семейного положения, в котором находился гражданин, служащий (работник) по состоянию на отчетную дату.</w:t>
      </w:r>
    </w:p>
    <w:p>
      <w:pPr>
        <w:pStyle w:val="0"/>
        <w:jc w:val="both"/>
      </w:pPr>
      <w:r>
        <w:rPr>
          <w:sz w:val="20"/>
        </w:rPr>
      </w:r>
    </w:p>
    <w:p>
      <w:pPr>
        <w:pStyle w:val="2"/>
        <w:outlineLvl w:val="1"/>
        <w:ind w:firstLine="540"/>
        <w:jc w:val="both"/>
      </w:pPr>
      <w:r>
        <w:rPr>
          <w:sz w:val="20"/>
        </w:rPr>
        <w:t xml:space="preserve">Супруги</w:t>
      </w:r>
    </w:p>
    <w:p>
      <w:pPr>
        <w:pStyle w:val="0"/>
        <w:spacing w:before="200" w:line-rule="auto"/>
        <w:ind w:firstLine="540"/>
        <w:jc w:val="both"/>
      </w:pPr>
      <w:r>
        <w:rPr>
          <w:sz w:val="20"/>
        </w:rPr>
        <w:t xml:space="preserve">26. При представлении Сведений в отношении супруги (супруга) следует учитывать положения </w:t>
      </w:r>
      <w:hyperlink w:history="0" r:id="rId35" w:tooltip="&quot;Семейный кодекс Российской Федерации&quot; от 29.12.1995 N 223-ФЗ (ред. от 31.07.2023) (с изм. и доп., вступ. в силу с 26.10.2023) {КонсультантПлюс}">
        <w:r>
          <w:rPr>
            <w:sz w:val="20"/>
            <w:color w:val="0000ff"/>
          </w:rPr>
          <w:t xml:space="preserve">статей 10</w:t>
        </w:r>
      </w:hyperlink>
      <w:r>
        <w:rPr>
          <w:sz w:val="20"/>
        </w:rPr>
        <w:t xml:space="preserve"> "Заключение брака" и </w:t>
      </w:r>
      <w:hyperlink w:history="0" r:id="rId36" w:tooltip="&quot;Семейный кодекс Российской Федерации&quot; от 29.12.1995 N 223-ФЗ (ред. от 31.07.2023) (с изм. и доп., вступ. в силу с 26.10.2023) {КонсультантПлюс}">
        <w:r>
          <w:rPr>
            <w:sz w:val="20"/>
            <w:color w:val="0000ff"/>
          </w:rPr>
          <w:t xml:space="preserve">25</w:t>
        </w:r>
      </w:hyperlink>
      <w:r>
        <w:rPr>
          <w:sz w:val="20"/>
        </w:rPr>
        <w:t xml:space="preserve"> "Момент прекращения брака при его расторжении" Семейного кодекса Российской Федерации.</w:t>
      </w:r>
    </w:p>
    <w:p>
      <w:pPr>
        <w:pStyle w:val="0"/>
        <w:spacing w:before="200" w:line-rule="auto"/>
        <w:ind w:firstLine="540"/>
        <w:jc w:val="both"/>
      </w:pPr>
      <w:r>
        <w:rPr>
          <w:sz w:val="20"/>
        </w:rPr>
        <w:t xml:space="preserve">27. Согласно </w:t>
      </w:r>
      <w:hyperlink w:history="0" r:id="rId37" w:tooltip="&quot;Семейный кодекс Российской Федерации&quot; от 29.12.1995 N 223-ФЗ (ред. от 31.07.2023) (с изм. и доп., вступ. в силу с 26.10.2023) {КонсультантПлюс}">
        <w:r>
          <w:rPr>
            <w:sz w:val="20"/>
            <w:color w:val="0000ff"/>
          </w:rPr>
          <w:t xml:space="preserve">статье 10</w:t>
        </w:r>
      </w:hyperlink>
      <w:r>
        <w:rPr>
          <w:sz w:val="20"/>
        </w:rP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pPr>
        <w:pStyle w:val="0"/>
        <w:spacing w:before="200" w:line-rule="auto"/>
        <w:ind w:firstLine="540"/>
        <w:jc w:val="both"/>
      </w:pPr>
      <w:r>
        <w:rPr>
          <w:sz w:val="20"/>
        </w:rPr>
        <w:t xml:space="preserve">Перечень ситуаций и рекомендуемые действия (таблица N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9"/>
        <w:gridCol w:w="5926"/>
      </w:tblGrid>
      <w:tr>
        <w:tc>
          <w:tcPr>
            <w:gridSpan w:val="2"/>
            <w:tcW w:w="9045" w:type="dxa"/>
          </w:tcPr>
          <w:p>
            <w:pPr>
              <w:pStyle w:val="0"/>
              <w:jc w:val="both"/>
            </w:pPr>
            <w:r>
              <w:rPr>
                <w:sz w:val="20"/>
              </w:rPr>
              <w:t xml:space="preserve">Пример: служащий (работник) представляет Сведения в 2024 году (за отчетный 2023 год)</w:t>
            </w:r>
          </w:p>
        </w:tc>
      </w:tr>
      <w:tr>
        <w:tc>
          <w:tcPr>
            <w:tcW w:w="3119" w:type="dxa"/>
          </w:tcPr>
          <w:p>
            <w:pPr>
              <w:pStyle w:val="0"/>
            </w:pPr>
            <w:r>
              <w:rPr>
                <w:sz w:val="20"/>
              </w:rPr>
              <w:t xml:space="preserve">Брак заключен в органах записи актов гражданского состояния (далее - ЗАГС) в ноябре 2023 года</w:t>
            </w:r>
          </w:p>
        </w:tc>
        <w:tc>
          <w:tcPr>
            <w:tcW w:w="5926" w:type="dxa"/>
          </w:tcPr>
          <w:p>
            <w:pPr>
              <w:pStyle w:val="0"/>
              <w:jc w:val="both"/>
            </w:pPr>
            <w:r>
              <w:rPr>
                <w:sz w:val="20"/>
              </w:rPr>
              <w:t xml:space="preserve">Сведения в отношении супруги (супруга) представляются, поскольку по состоянию на отчетную дату (31 декабря 2023 года) служащий (работник) состоял в браке</w:t>
            </w:r>
          </w:p>
        </w:tc>
      </w:tr>
      <w:tr>
        <w:tc>
          <w:tcPr>
            <w:tcW w:w="3119" w:type="dxa"/>
          </w:tcPr>
          <w:p>
            <w:pPr>
              <w:pStyle w:val="0"/>
              <w:jc w:val="both"/>
            </w:pPr>
            <w:r>
              <w:rPr>
                <w:sz w:val="20"/>
              </w:rPr>
              <w:t xml:space="preserve">Брак заключен в ЗАГСе в марте 2024 года</w:t>
            </w:r>
          </w:p>
        </w:tc>
        <w:tc>
          <w:tcPr>
            <w:tcW w:w="5926" w:type="dxa"/>
          </w:tcPr>
          <w:p>
            <w:pPr>
              <w:pStyle w:val="0"/>
              <w:jc w:val="both"/>
            </w:pPr>
            <w:r>
              <w:rPr>
                <w:sz w:val="20"/>
              </w:rPr>
              <w:t xml:space="preserve">Сведения в отношении супруги (супруга) не представляются, поскольку по состоянию на отчетную дату (31 декабря 2023 года) служащий (работник) не состоял в браке</w:t>
            </w:r>
          </w:p>
        </w:tc>
      </w:tr>
      <w:tr>
        <w:tc>
          <w:tcPr>
            <w:gridSpan w:val="2"/>
            <w:tcW w:w="9045" w:type="dxa"/>
          </w:tcPr>
          <w:p>
            <w:pPr>
              <w:pStyle w:val="0"/>
              <w:jc w:val="both"/>
            </w:pPr>
            <w:r>
              <w:rPr>
                <w:sz w:val="20"/>
              </w:rPr>
              <w:t xml:space="preserve">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tc>
          <w:tcPr>
            <w:tcW w:w="3119" w:type="dxa"/>
          </w:tcPr>
          <w:p>
            <w:pPr>
              <w:pStyle w:val="0"/>
              <w:jc w:val="both"/>
            </w:pPr>
            <w:r>
              <w:rPr>
                <w:sz w:val="20"/>
              </w:rPr>
              <w:t xml:space="preserve">Брак заключен 1 февраля 2024 года</w:t>
            </w:r>
          </w:p>
        </w:tc>
        <w:tc>
          <w:tcPr>
            <w:tcW w:w="5926" w:type="dxa"/>
          </w:tcPr>
          <w:p>
            <w:pPr>
              <w:pStyle w:val="0"/>
              <w:jc w:val="both"/>
            </w:pPr>
            <w:r>
              <w:rPr>
                <w:sz w:val="20"/>
              </w:rPr>
              <w:t xml:space="preserve">Сведения в отношении супруги представляются, поскольку по состоянию на отчетную дату (1 августа 2024 года) гражданин состоял в браке</w:t>
            </w:r>
          </w:p>
        </w:tc>
      </w:tr>
      <w:tr>
        <w:tc>
          <w:tcPr>
            <w:tcW w:w="3119" w:type="dxa"/>
          </w:tcPr>
          <w:p>
            <w:pPr>
              <w:pStyle w:val="0"/>
              <w:jc w:val="both"/>
            </w:pPr>
            <w:r>
              <w:rPr>
                <w:sz w:val="20"/>
              </w:rPr>
              <w:t xml:space="preserve">Брак заключен 2 августа 2024 года</w:t>
            </w:r>
          </w:p>
        </w:tc>
        <w:tc>
          <w:tcPr>
            <w:tcW w:w="5926" w:type="dxa"/>
          </w:tcPr>
          <w:p>
            <w:pPr>
              <w:pStyle w:val="0"/>
              <w:jc w:val="both"/>
            </w:pPr>
            <w:r>
              <w:rPr>
                <w:sz w:val="20"/>
              </w:rPr>
              <w:t xml:space="preserve">Сведения в отношении супруги не представляются, поскольку по состоянию на отчетную дату (1 августа 2024 года) гражданин еще не вступил в брак</w:t>
            </w:r>
          </w:p>
        </w:tc>
      </w:tr>
    </w:tbl>
    <w:p>
      <w:pPr>
        <w:pStyle w:val="0"/>
        <w:jc w:val="both"/>
      </w:pPr>
      <w:r>
        <w:rPr>
          <w:sz w:val="20"/>
        </w:rPr>
      </w:r>
    </w:p>
    <w:p>
      <w:pPr>
        <w:pStyle w:val="0"/>
        <w:ind w:firstLine="540"/>
        <w:jc w:val="both"/>
      </w:pPr>
      <w:r>
        <w:rPr>
          <w:sz w:val="20"/>
        </w:rPr>
        <w:t xml:space="preserve">28. Согласно </w:t>
      </w:r>
      <w:hyperlink w:history="0" r:id="rId38" w:tooltip="&quot;Семейный кодекс Российской Федерации&quot; от 29.12.1995 N 223-ФЗ (ред. от 31.07.2023) (с изм. и доп., вступ. в силу с 26.10.2023) {КонсультантПлюс}">
        <w:r>
          <w:rPr>
            <w:sz w:val="20"/>
            <w:color w:val="0000ff"/>
          </w:rPr>
          <w:t xml:space="preserve">статье 25</w:t>
        </w:r>
      </w:hyperlink>
      <w:r>
        <w:rPr>
          <w:sz w:val="20"/>
        </w:rP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pPr>
        <w:pStyle w:val="0"/>
        <w:spacing w:before="200" w:line-rule="auto"/>
        <w:ind w:firstLine="540"/>
        <w:jc w:val="both"/>
      </w:pPr>
      <w:r>
        <w:rPr>
          <w:sz w:val="20"/>
        </w:rPr>
        <w:t xml:space="preserve">Перечень ситуаций и рекомендуемые действия (таблица N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9"/>
        <w:gridCol w:w="5926"/>
      </w:tblGrid>
      <w:tr>
        <w:tc>
          <w:tcPr>
            <w:gridSpan w:val="2"/>
            <w:tcW w:w="9045" w:type="dxa"/>
          </w:tcPr>
          <w:p>
            <w:pPr>
              <w:pStyle w:val="0"/>
              <w:jc w:val="both"/>
            </w:pPr>
            <w:r>
              <w:rPr>
                <w:sz w:val="20"/>
              </w:rPr>
              <w:t xml:space="preserve">Пример: служащий (работник) представляет Сведения в 2024 году (за отчетный 2023 год)</w:t>
            </w:r>
          </w:p>
        </w:tc>
      </w:tr>
      <w:tr>
        <w:tc>
          <w:tcPr>
            <w:tcW w:w="3119" w:type="dxa"/>
          </w:tcPr>
          <w:p>
            <w:pPr>
              <w:pStyle w:val="0"/>
              <w:jc w:val="both"/>
            </w:pPr>
            <w:r>
              <w:rPr>
                <w:sz w:val="20"/>
              </w:rPr>
              <w:t xml:space="preserve">Брак был расторгнут в ЗАГСе в ноябре 2023 года</w:t>
            </w:r>
          </w:p>
        </w:tc>
        <w:tc>
          <w:tcPr>
            <w:tcW w:w="5926" w:type="dxa"/>
          </w:tcPr>
          <w:p>
            <w:pPr>
              <w:pStyle w:val="0"/>
              <w:jc w:val="both"/>
            </w:pPr>
            <w:r>
              <w:rPr>
                <w:sz w:val="20"/>
              </w:rPr>
              <w:t xml:space="preserve">Сведения в отношении бывшей супруги не представляются, поскольку по состоянию на отчетную дату (31 декабря 2023 года) служащий (работник) не состоял в браке</w:t>
            </w:r>
          </w:p>
        </w:tc>
      </w:tr>
      <w:tr>
        <w:tc>
          <w:tcPr>
            <w:tcW w:w="3119" w:type="dxa"/>
          </w:tcPr>
          <w:p>
            <w:pPr>
              <w:pStyle w:val="0"/>
              <w:jc w:val="both"/>
            </w:pPr>
            <w:r>
              <w:rPr>
                <w:sz w:val="20"/>
              </w:rPr>
              <w:t xml:space="preserve">Окончательное решение о расторжении брака было принято судом 12 декабря 2023 года и вступило в законную силу 12 января 2024 года</w:t>
            </w:r>
          </w:p>
        </w:tc>
        <w:tc>
          <w:tcPr>
            <w:tcW w:w="5926" w:type="dxa"/>
          </w:tcPr>
          <w:p>
            <w:pPr>
              <w:pStyle w:val="0"/>
              <w:jc w:val="both"/>
            </w:pPr>
            <w:r>
              <w:rPr>
                <w:sz w:val="20"/>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2024 года. Таким образом, по состоянию на отчетную дату (31 декабря 2023 года) служащий (работник) считался состоявшим в браке</w:t>
            </w:r>
          </w:p>
        </w:tc>
      </w:tr>
      <w:tr>
        <w:tc>
          <w:tcPr>
            <w:tcW w:w="3119" w:type="dxa"/>
          </w:tcPr>
          <w:p>
            <w:pPr>
              <w:pStyle w:val="0"/>
              <w:jc w:val="both"/>
            </w:pPr>
            <w:r>
              <w:rPr>
                <w:sz w:val="20"/>
              </w:rPr>
              <w:t xml:space="preserve">Брак был расторгнут в ЗАГСе в марте 2024 года</w:t>
            </w:r>
          </w:p>
        </w:tc>
        <w:tc>
          <w:tcPr>
            <w:tcW w:w="5926" w:type="dxa"/>
          </w:tcPr>
          <w:p>
            <w:pPr>
              <w:pStyle w:val="0"/>
              <w:jc w:val="both"/>
            </w:pPr>
            <w:r>
              <w:rPr>
                <w:sz w:val="20"/>
              </w:rPr>
              <w:t xml:space="preserve">Сведения в отношении бывшей супруги представляются, поскольку по состоянию на отчетную дату (31 декабря 2023 года) служащий (работник) состоял в браке</w:t>
            </w:r>
          </w:p>
        </w:tc>
      </w:tr>
      <w:tr>
        <w:tc>
          <w:tcPr>
            <w:gridSpan w:val="2"/>
            <w:tcW w:w="9045" w:type="dxa"/>
          </w:tcPr>
          <w:p>
            <w:pPr>
              <w:pStyle w:val="0"/>
              <w:jc w:val="both"/>
            </w:pPr>
            <w:r>
              <w:rPr>
                <w:sz w:val="20"/>
              </w:rPr>
              <w:t xml:space="preserve">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tc>
          <w:tcPr>
            <w:tcW w:w="3119" w:type="dxa"/>
          </w:tcPr>
          <w:p>
            <w:pPr>
              <w:pStyle w:val="0"/>
              <w:jc w:val="both"/>
            </w:pPr>
            <w:r>
              <w:rPr>
                <w:sz w:val="20"/>
              </w:rPr>
              <w:t xml:space="preserve">Брак был расторгнут в ЗАГСе 1 июля 2024 года</w:t>
            </w:r>
          </w:p>
        </w:tc>
        <w:tc>
          <w:tcPr>
            <w:tcW w:w="5926" w:type="dxa"/>
          </w:tcPr>
          <w:p>
            <w:pPr>
              <w:pStyle w:val="0"/>
              <w:jc w:val="both"/>
            </w:pPr>
            <w:r>
              <w:rPr>
                <w:sz w:val="20"/>
              </w:rPr>
              <w:t xml:space="preserve">Сведения в отношении бывшей супруги не представляются, поскольку по состоянию на отчетную дату (1 августа 2024 года) гражданин не состоял в браке</w:t>
            </w:r>
          </w:p>
        </w:tc>
      </w:tr>
      <w:tr>
        <w:tc>
          <w:tcPr>
            <w:tcW w:w="3119" w:type="dxa"/>
          </w:tcPr>
          <w:p>
            <w:pPr>
              <w:pStyle w:val="0"/>
              <w:jc w:val="both"/>
            </w:pPr>
            <w:r>
              <w:rPr>
                <w:sz w:val="20"/>
              </w:rPr>
              <w:t xml:space="preserve">Брак был расторгнут в ЗАГСе 2 августа 2024 года</w:t>
            </w:r>
          </w:p>
        </w:tc>
        <w:tc>
          <w:tcPr>
            <w:tcW w:w="5926" w:type="dxa"/>
          </w:tcPr>
          <w:p>
            <w:pPr>
              <w:pStyle w:val="0"/>
              <w:jc w:val="both"/>
            </w:pPr>
            <w:r>
              <w:rPr>
                <w:sz w:val="20"/>
              </w:rPr>
              <w:t xml:space="preserve">Сведения в отношении бывшей супруги представляются, поскольку по состоянию на отчетную дату (1 августа 2024 года) гражданин состоял в браке</w:t>
            </w:r>
          </w:p>
        </w:tc>
      </w:tr>
      <w:tr>
        <w:tc>
          <w:tcPr>
            <w:tcW w:w="3119" w:type="dxa"/>
          </w:tcPr>
          <w:p>
            <w:pPr>
              <w:pStyle w:val="0"/>
              <w:jc w:val="both"/>
            </w:pPr>
            <w:r>
              <w:rPr>
                <w:sz w:val="20"/>
              </w:rPr>
              <w:t xml:space="preserve">Окончательное решение о расторжении брака было принято судом 4 июля 2024 года и вступило в законную силу 4 августа 2024 г.</w:t>
            </w:r>
          </w:p>
        </w:tc>
        <w:tc>
          <w:tcPr>
            <w:tcW w:w="5926" w:type="dxa"/>
          </w:tcPr>
          <w:p>
            <w:pPr>
              <w:pStyle w:val="0"/>
              <w:jc w:val="both"/>
            </w:pPr>
            <w:r>
              <w:rPr>
                <w:sz w:val="20"/>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2024 года. Таким образом, по состоянию на отчетную дату (1 августа 2024 года) гражданин считался состоявшим в браке</w:t>
            </w:r>
          </w:p>
        </w:tc>
      </w:tr>
    </w:tbl>
    <w:p>
      <w:pPr>
        <w:pStyle w:val="0"/>
        <w:jc w:val="both"/>
      </w:pPr>
      <w:r>
        <w:rPr>
          <w:sz w:val="20"/>
        </w:rPr>
      </w:r>
    </w:p>
    <w:p>
      <w:pPr>
        <w:pStyle w:val="0"/>
        <w:ind w:firstLine="540"/>
        <w:jc w:val="both"/>
      </w:pPr>
      <w:r>
        <w:rPr>
          <w:sz w:val="20"/>
        </w:rPr>
        <w:t xml:space="preserve">29. Лица, обязанные представлять Сведения в отношении своих супруг (супругов), не представляют такие Сведения, если:</w:t>
      </w:r>
    </w:p>
    <w:p>
      <w:pPr>
        <w:pStyle w:val="0"/>
        <w:spacing w:before="200" w:line-rule="auto"/>
        <w:ind w:firstLine="540"/>
        <w:jc w:val="both"/>
      </w:pPr>
      <w:r>
        <w:rPr>
          <w:sz w:val="20"/>
        </w:rPr>
        <w:t xml:space="preserve">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pPr>
        <w:pStyle w:val="0"/>
        <w:spacing w:before="200" w:line-rule="auto"/>
        <w:ind w:firstLine="540"/>
        <w:jc w:val="both"/>
      </w:pPr>
      <w:r>
        <w:rPr>
          <w:sz w:val="20"/>
        </w:rPr>
        <w:t xml:space="preserve">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pPr>
        <w:pStyle w:val="0"/>
        <w:spacing w:before="200" w:line-rule="auto"/>
        <w:ind w:firstLine="540"/>
        <w:jc w:val="both"/>
      </w:pPr>
      <w:r>
        <w:rPr>
          <w:sz w:val="20"/>
        </w:rPr>
        <w:t xml:space="preserve">3) их супруги призваны на военную службу по мобилизации в Вооруженные Силы Российской Федерации;</w:t>
      </w:r>
    </w:p>
    <w:p>
      <w:pPr>
        <w:pStyle w:val="0"/>
        <w:spacing w:before="200" w:line-rule="auto"/>
        <w:ind w:firstLine="540"/>
        <w:jc w:val="both"/>
      </w:pPr>
      <w:r>
        <w:rPr>
          <w:sz w:val="20"/>
        </w:rPr>
        <w:t xml:space="preserve">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pPr>
        <w:pStyle w:val="0"/>
        <w:spacing w:before="200" w:line-rule="auto"/>
        <w:ind w:firstLine="540"/>
        <w:jc w:val="both"/>
      </w:pPr>
      <w:r>
        <w:rPr>
          <w:sz w:val="20"/>
        </w:rPr>
        <w:t xml:space="preserve">В этом случае такими лицами могут быть представлены документы, подтверждающие обозначенный статус их супруг (супругов).</w:t>
      </w:r>
    </w:p>
    <w:p>
      <w:pPr>
        <w:pStyle w:val="0"/>
        <w:spacing w:before="200" w:line-rule="auto"/>
        <w:ind w:firstLine="540"/>
        <w:jc w:val="both"/>
      </w:pPr>
      <w:r>
        <w:rPr>
          <w:sz w:val="20"/>
        </w:rPr>
        <w:t xml:space="preserve">Дополнительные пояснения содержатся в Инструктивно-методических </w:t>
      </w:r>
      <w:hyperlink w:history="0" r:id="rId39" w:tooltip="&lt;Письмо&gt; Минтруда России от 21.03.2023 N 28-6/10/П-2161 &lt;О направлении Инструктивно-методических материалов&gt; (вместе с &quot;Инструктивно-методическими материалами по вопросам реализации Указа Президента Российской Федерации от 29 декабря 2022 г.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материалах</w:t>
        </w:r>
      </w:hyperlink>
      <w:r>
        <w:rPr>
          <w:sz w:val="20"/>
        </w:rPr>
        <w:t xml:space="preserve">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sz w:val="20"/>
        </w:rPr>
        <w:t xml:space="preserve">https://mintrud.gov.ru/ministry/programms/anticorruption/9/23</w:t>
      </w:r>
      <w:r>
        <w:rPr>
          <w:sz w:val="20"/>
        </w:rPr>
        <w:t xml:space="preserve">).</w:t>
      </w:r>
    </w:p>
    <w:p>
      <w:pPr>
        <w:pStyle w:val="0"/>
        <w:jc w:val="both"/>
      </w:pPr>
      <w:r>
        <w:rPr>
          <w:sz w:val="20"/>
        </w:rPr>
      </w:r>
    </w:p>
    <w:p>
      <w:pPr>
        <w:pStyle w:val="2"/>
        <w:outlineLvl w:val="1"/>
        <w:ind w:firstLine="540"/>
        <w:jc w:val="both"/>
      </w:pPr>
      <w:r>
        <w:rPr>
          <w:sz w:val="20"/>
        </w:rPr>
        <w:t xml:space="preserve">Несовершеннолетние дети</w:t>
      </w:r>
    </w:p>
    <w:p>
      <w:pPr>
        <w:pStyle w:val="0"/>
        <w:spacing w:before="200" w:line-rule="auto"/>
        <w:ind w:firstLine="540"/>
        <w:jc w:val="both"/>
      </w:pPr>
      <w:r>
        <w:rPr>
          <w:sz w:val="20"/>
        </w:rPr>
        <w:t xml:space="preserve">30. </w:t>
      </w:r>
      <w:hyperlink w:history="0" r:id="rId4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Статья 60</w:t>
        </w:r>
      </w:hyperlink>
      <w:r>
        <w:rPr>
          <w:sz w:val="20"/>
        </w:rP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pPr>
        <w:pStyle w:val="0"/>
        <w:spacing w:before="200" w:line-rule="auto"/>
        <w:ind w:firstLine="540"/>
        <w:jc w:val="both"/>
      </w:pPr>
      <w:r>
        <w:rPr>
          <w:sz w:val="20"/>
        </w:rPr>
        <w:t xml:space="preserve">31.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pPr>
        <w:pStyle w:val="0"/>
        <w:spacing w:before="200" w:line-rule="auto"/>
        <w:ind w:firstLine="540"/>
        <w:jc w:val="both"/>
      </w:pPr>
      <w:r>
        <w:rPr>
          <w:sz w:val="20"/>
        </w:rPr>
        <w:t xml:space="preserve">Перечень ситуаций и рекомендуемые действия (таблица N 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9"/>
        <w:gridCol w:w="5926"/>
      </w:tblGrid>
      <w:tr>
        <w:tc>
          <w:tcPr>
            <w:gridSpan w:val="2"/>
            <w:tcW w:w="9045" w:type="dxa"/>
          </w:tcPr>
          <w:p>
            <w:pPr>
              <w:pStyle w:val="0"/>
              <w:jc w:val="both"/>
            </w:pPr>
            <w:r>
              <w:rPr>
                <w:sz w:val="20"/>
              </w:rPr>
              <w:t xml:space="preserve">Пример: служащий (работник) представляет Сведения в 2024 году (за отчетный 2023 год)</w:t>
            </w:r>
          </w:p>
        </w:tc>
      </w:tr>
      <w:tr>
        <w:tc>
          <w:tcPr>
            <w:tcW w:w="3119" w:type="dxa"/>
          </w:tcPr>
          <w:p>
            <w:pPr>
              <w:pStyle w:val="0"/>
              <w:jc w:val="both"/>
            </w:pPr>
            <w:r>
              <w:rPr>
                <w:sz w:val="20"/>
              </w:rPr>
              <w:t xml:space="preserve">Дочери служащего (работника) 21 мая 2023 года исполнилось 18 лет</w:t>
            </w:r>
          </w:p>
        </w:tc>
        <w:tc>
          <w:tcPr>
            <w:tcW w:w="5926" w:type="dxa"/>
          </w:tcPr>
          <w:p>
            <w:pPr>
              <w:pStyle w:val="0"/>
              <w:jc w:val="both"/>
            </w:pPr>
            <w:r>
              <w:rPr>
                <w:sz w:val="20"/>
              </w:rPr>
              <w:t xml:space="preserve">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tc>
          <w:tcPr>
            <w:tcW w:w="3119" w:type="dxa"/>
          </w:tcPr>
          <w:p>
            <w:pPr>
              <w:pStyle w:val="0"/>
              <w:jc w:val="both"/>
            </w:pPr>
            <w:r>
              <w:rPr>
                <w:sz w:val="20"/>
              </w:rPr>
              <w:t xml:space="preserve">Дочери служащего (работника) 30 декабря 2023 года исполнилось 18 лет</w:t>
            </w:r>
          </w:p>
        </w:tc>
        <w:tc>
          <w:tcPr>
            <w:tcW w:w="5926" w:type="dxa"/>
          </w:tcPr>
          <w:p>
            <w:pPr>
              <w:pStyle w:val="0"/>
              <w:jc w:val="both"/>
            </w:pPr>
            <w:r>
              <w:rPr>
                <w:sz w:val="20"/>
              </w:rPr>
              <w:t xml:space="preserve">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tc>
          <w:tcPr>
            <w:tcW w:w="3119" w:type="dxa"/>
          </w:tcPr>
          <w:p>
            <w:pPr>
              <w:pStyle w:val="0"/>
              <w:jc w:val="both"/>
            </w:pPr>
            <w:r>
              <w:rPr>
                <w:sz w:val="20"/>
              </w:rPr>
              <w:t xml:space="preserve">Дочери служащего (работника) 31 декабря 2023 года исполнилось 18 лет</w:t>
            </w:r>
          </w:p>
        </w:tc>
        <w:tc>
          <w:tcPr>
            <w:tcW w:w="5926" w:type="dxa"/>
          </w:tcPr>
          <w:p>
            <w:pPr>
              <w:pStyle w:val="0"/>
              <w:jc w:val="both"/>
            </w:pPr>
            <w:r>
              <w:rPr>
                <w:sz w:val="20"/>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2024 года. Таким образом, по состоянию на отчетную дату (31 декабря 2023 года) она еще являлась несовершеннолетней</w:t>
            </w:r>
          </w:p>
        </w:tc>
      </w:tr>
      <w:tr>
        <w:tc>
          <w:tcPr>
            <w:gridSpan w:val="2"/>
            <w:tcW w:w="9045" w:type="dxa"/>
          </w:tcPr>
          <w:p>
            <w:pPr>
              <w:pStyle w:val="0"/>
              <w:jc w:val="both"/>
            </w:pPr>
            <w:r>
              <w:rPr>
                <w:sz w:val="20"/>
              </w:rPr>
              <w:t xml:space="preserve">Пример: гражданин представляет в сентябре 2024 года Сведения в связи с назначением на должность. Отчетной датой является 1 августа 2024 года</w:t>
            </w:r>
          </w:p>
        </w:tc>
      </w:tr>
      <w:tr>
        <w:tc>
          <w:tcPr>
            <w:tcW w:w="3119" w:type="dxa"/>
          </w:tcPr>
          <w:p>
            <w:pPr>
              <w:pStyle w:val="0"/>
              <w:jc w:val="both"/>
            </w:pPr>
            <w:r>
              <w:rPr>
                <w:sz w:val="20"/>
              </w:rPr>
              <w:t xml:space="preserve">Сыну гражданина 5 мая 2024 года исполнилось 18 лет</w:t>
            </w:r>
          </w:p>
        </w:tc>
        <w:tc>
          <w:tcPr>
            <w:tcW w:w="5926" w:type="dxa"/>
          </w:tcPr>
          <w:p>
            <w:pPr>
              <w:pStyle w:val="0"/>
              <w:jc w:val="both"/>
            </w:pPr>
            <w:r>
              <w:rPr>
                <w:sz w:val="20"/>
              </w:rPr>
              <w:t xml:space="preserve">Сведения в отношении сына не представляются, поскольку он являлся совершеннолетним и по состоянию на отчетную дату (1 августа 2024 года) сыну гражданина уже исполнилось 18 лет</w:t>
            </w:r>
          </w:p>
        </w:tc>
      </w:tr>
      <w:tr>
        <w:tc>
          <w:tcPr>
            <w:tcW w:w="3119" w:type="dxa"/>
          </w:tcPr>
          <w:p>
            <w:pPr>
              <w:pStyle w:val="0"/>
              <w:jc w:val="both"/>
            </w:pPr>
            <w:r>
              <w:rPr>
                <w:sz w:val="20"/>
              </w:rPr>
              <w:t xml:space="preserve">Сыну гражданина 1 августа 2024 года исполнилось 18 лет</w:t>
            </w:r>
          </w:p>
        </w:tc>
        <w:tc>
          <w:tcPr>
            <w:tcW w:w="5926" w:type="dxa"/>
          </w:tcPr>
          <w:p>
            <w:pPr>
              <w:pStyle w:val="0"/>
              <w:jc w:val="both"/>
            </w:pPr>
            <w:r>
              <w:rPr>
                <w:sz w:val="20"/>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2024 года. Таким образом, по состоянию на отчетную дату (1 августа 2024 года) он еще являлся несовершеннолетним</w:t>
            </w:r>
          </w:p>
        </w:tc>
      </w:tr>
      <w:tr>
        <w:tc>
          <w:tcPr>
            <w:tcW w:w="3119" w:type="dxa"/>
          </w:tcPr>
          <w:p>
            <w:pPr>
              <w:pStyle w:val="0"/>
              <w:jc w:val="both"/>
            </w:pPr>
            <w:r>
              <w:rPr>
                <w:sz w:val="20"/>
              </w:rPr>
              <w:t xml:space="preserve">Сыну гражданина 17 августа 2024 года исполнилось 18 лет</w:t>
            </w:r>
          </w:p>
        </w:tc>
        <w:tc>
          <w:tcPr>
            <w:tcW w:w="5926" w:type="dxa"/>
          </w:tcPr>
          <w:p>
            <w:pPr>
              <w:pStyle w:val="0"/>
              <w:jc w:val="both"/>
            </w:pPr>
            <w:r>
              <w:rPr>
                <w:sz w:val="20"/>
              </w:rPr>
              <w:t xml:space="preserve">Сведения в отношении сына представляются, поскольку по состоянию на отчетную дату (1 августа 2024 года) сын гражданина являлся несовершеннолетним</w:t>
            </w:r>
          </w:p>
        </w:tc>
      </w:tr>
    </w:tbl>
    <w:p>
      <w:pPr>
        <w:pStyle w:val="0"/>
        <w:jc w:val="both"/>
      </w:pPr>
      <w:r>
        <w:rPr>
          <w:sz w:val="20"/>
        </w:rPr>
      </w:r>
    </w:p>
    <w:p>
      <w:pPr>
        <w:pStyle w:val="0"/>
        <w:ind w:firstLine="540"/>
        <w:jc w:val="both"/>
      </w:pPr>
      <w:r>
        <w:rPr>
          <w:sz w:val="20"/>
        </w:rPr>
        <w:t xml:space="preserve">32.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pPr>
        <w:pStyle w:val="0"/>
        <w:spacing w:before="200" w:line-rule="auto"/>
        <w:ind w:firstLine="540"/>
        <w:jc w:val="both"/>
      </w:pPr>
      <w:r>
        <w:rPr>
          <w:sz w:val="20"/>
        </w:rPr>
        <w:t xml:space="preserve">33.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pPr>
        <w:pStyle w:val="0"/>
        <w:jc w:val="both"/>
      </w:pPr>
      <w:r>
        <w:rPr>
          <w:sz w:val="20"/>
        </w:rPr>
      </w:r>
    </w:p>
    <w:p>
      <w:pPr>
        <w:pStyle w:val="2"/>
        <w:outlineLvl w:val="1"/>
        <w:ind w:firstLine="540"/>
        <w:jc w:val="both"/>
      </w:pPr>
      <w:r>
        <w:rPr>
          <w:sz w:val="20"/>
        </w:rPr>
        <w:t xml:space="preserve">Уточнение представленных Сведений</w:t>
      </w:r>
    </w:p>
    <w:p>
      <w:pPr>
        <w:pStyle w:val="0"/>
        <w:spacing w:before="200" w:line-rule="auto"/>
        <w:ind w:firstLine="540"/>
        <w:jc w:val="both"/>
      </w:pPr>
      <w:r>
        <w:rPr>
          <w:sz w:val="20"/>
        </w:rPr>
        <w:t xml:space="preserve">34.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pPr>
        <w:pStyle w:val="0"/>
        <w:spacing w:before="200" w:line-rule="auto"/>
        <w:ind w:firstLine="540"/>
        <w:jc w:val="both"/>
      </w:pPr>
      <w:r>
        <w:rPr>
          <w:sz w:val="20"/>
        </w:rPr>
        <w:t xml:space="preserve">35.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pPr>
        <w:pStyle w:val="0"/>
        <w:spacing w:before="200" w:line-rule="auto"/>
        <w:ind w:firstLine="540"/>
        <w:jc w:val="both"/>
      </w:pPr>
      <w:r>
        <w:rPr>
          <w:sz w:val="20"/>
        </w:rPr>
        <w:t xml:space="preserve">36.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pPr>
        <w:pStyle w:val="0"/>
        <w:spacing w:before="200" w:line-rule="auto"/>
        <w:ind w:firstLine="540"/>
        <w:jc w:val="both"/>
      </w:pPr>
      <w:r>
        <w:rPr>
          <w:sz w:val="20"/>
        </w:rPr>
        <w:t xml:space="preserve">37. Представление уточненных Сведений предусматривает повторное представление только </w:t>
      </w:r>
      <w:hyperlink w:history="0" r:id="rId4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в которой не отражены или не полностью отражены какие-либо Сведения либо имеются ошибки.</w:t>
      </w:r>
    </w:p>
    <w:p>
      <w:pPr>
        <w:pStyle w:val="0"/>
        <w:spacing w:before="200" w:line-rule="auto"/>
        <w:ind w:firstLine="540"/>
        <w:jc w:val="both"/>
      </w:pPr>
      <w:r>
        <w:rPr>
          <w:sz w:val="20"/>
        </w:rPr>
        <w:t xml:space="preserve">38. 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2024 году </w:t>
      </w:r>
      <w:hyperlink w:history="0" r:id="rId4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приложить соответствующие письменные пояснения (например, ситуации, связанные с выявлением счета в кредитной организации, отрытого в 2022 году, но не отраженного в справке, представленной в рамках декларационной кампании 2023 года).</w:t>
      </w:r>
    </w:p>
    <w:p>
      <w:pPr>
        <w:pStyle w:val="0"/>
        <w:spacing w:before="200" w:line-rule="auto"/>
        <w:ind w:firstLine="540"/>
        <w:jc w:val="both"/>
      </w:pPr>
      <w:r>
        <w:rPr>
          <w:sz w:val="20"/>
        </w:rPr>
        <w:t xml:space="preserve">39.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pPr>
        <w:pStyle w:val="0"/>
        <w:jc w:val="both"/>
      </w:pPr>
      <w:r>
        <w:rPr>
          <w:sz w:val="20"/>
        </w:rPr>
      </w:r>
    </w:p>
    <w:p>
      <w:pPr>
        <w:pStyle w:val="2"/>
        <w:outlineLvl w:val="1"/>
        <w:ind w:firstLine="540"/>
        <w:jc w:val="both"/>
      </w:pPr>
      <w:r>
        <w:rPr>
          <w:sz w:val="20"/>
        </w:rPr>
        <w:t xml:space="preserve">Рекомендуемые действия при невозможности по объективным причинам представить Сведения в отношении члена семьи</w:t>
      </w:r>
    </w:p>
    <w:bookmarkStart w:id="188" w:name="P188"/>
    <w:bookmarkEnd w:id="188"/>
    <w:p>
      <w:pPr>
        <w:pStyle w:val="0"/>
        <w:spacing w:before="200" w:line-rule="auto"/>
        <w:ind w:firstLine="540"/>
        <w:jc w:val="both"/>
      </w:pPr>
      <w:r>
        <w:rPr>
          <w:sz w:val="20"/>
        </w:rPr>
        <w:t xml:space="preserve">40.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w:history="0" r:id="rId43" w:tooltip="Указ Президента РФ от 25.02.2011 N 233 (ред. от 25.01.2024)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отдельные должности федеральной государственной {КонсультантПлюс}">
        <w:r>
          <w:rPr>
            <w:sz w:val="20"/>
            <w:color w:val="0000ff"/>
          </w:rPr>
          <w:t xml:space="preserve">абзацем третьим подпункта "б" пункта 2</w:t>
        </w:r>
      </w:hyperlink>
      <w:r>
        <w:rPr>
          <w:sz w:val="20"/>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w:history="0" r:id="rId44" w:tooltip="Указ Президента РФ от 01.07.2010 N 821 (ред. от 25.01.2024)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КонсультантПлюс}">
        <w:r>
          <w:rPr>
            <w:sz w:val="20"/>
            <w:color w:val="0000ff"/>
          </w:rPr>
          <w:t xml:space="preserve">абзацем третьим подпункта "б" пункта 16</w:t>
        </w:r>
      </w:hyperlink>
      <w:r>
        <w:rPr>
          <w:sz w:val="20"/>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w:history="0" r:id="rId45" w:tooltip="Указ Президента РФ от 09.10.2017 N 472 (ред. от 26.06.2023) &quot;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КонсультантПлюс}">
        <w:r>
          <w:rPr>
            <w:sz w:val="20"/>
            <w:color w:val="0000ff"/>
          </w:rPr>
          <w:t xml:space="preserve">пунктом 11</w:t>
        </w:r>
      </w:hyperlink>
      <w:r>
        <w:rPr>
          <w:sz w:val="20"/>
        </w:rPr>
        <w:t xml:space="preserve">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pPr>
        <w:pStyle w:val="0"/>
        <w:spacing w:before="200" w:line-rule="auto"/>
        <w:ind w:firstLine="540"/>
        <w:jc w:val="both"/>
      </w:pPr>
      <w:r>
        <w:rPr>
          <w:sz w:val="20"/>
        </w:rPr>
        <w:t xml:space="preserve">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r>
        <w:rPr>
          <w:sz w:val="20"/>
        </w:rPr>
        <w:t xml:space="preserve">https://mintrud.gov.ru/ministry/programms/anticorruption/9/24</w:t>
      </w:r>
      <w:r>
        <w:rPr>
          <w:sz w:val="20"/>
        </w:rPr>
        <w:t xml:space="preserve">).</w:t>
      </w:r>
    </w:p>
    <w:p>
      <w:pPr>
        <w:pStyle w:val="0"/>
        <w:spacing w:before="200" w:line-rule="auto"/>
        <w:ind w:firstLine="540"/>
        <w:jc w:val="both"/>
      </w:pPr>
      <w:r>
        <w:rPr>
          <w:sz w:val="20"/>
        </w:rPr>
        <w:t xml:space="preserve">41. Заявление подается в порядке, установленном нормативным правовым актом органа публичной власти или актом организации.</w:t>
      </w:r>
    </w:p>
    <w:p>
      <w:pPr>
        <w:pStyle w:val="0"/>
        <w:spacing w:before="200" w:line-rule="auto"/>
        <w:ind w:firstLine="540"/>
        <w:jc w:val="both"/>
      </w:pPr>
      <w:r>
        <w:rPr>
          <w:sz w:val="20"/>
        </w:rPr>
        <w:t xml:space="preserve">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pPr>
        <w:pStyle w:val="0"/>
        <w:spacing w:before="200" w:line-rule="auto"/>
        <w:ind w:firstLine="540"/>
        <w:jc w:val="both"/>
      </w:pPr>
      <w:r>
        <w:rPr>
          <w:sz w:val="20"/>
        </w:rPr>
        <w:t xml:space="preserve">42. Заявление должно быть направлено до истечения срока, установленного для представления служащим (работником) Сведений.</w:t>
      </w:r>
    </w:p>
    <w:p>
      <w:pPr>
        <w:pStyle w:val="0"/>
        <w:spacing w:before="200" w:line-rule="auto"/>
        <w:ind w:firstLine="540"/>
        <w:jc w:val="both"/>
      </w:pPr>
      <w:r>
        <w:rPr>
          <w:sz w:val="20"/>
        </w:rPr>
        <w:t xml:space="preserve">Заявление подается (таблица N 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9"/>
        <w:gridCol w:w="5926"/>
      </w:tblGrid>
      <w:tr>
        <w:tc>
          <w:tcPr>
            <w:tcW w:w="3119" w:type="dxa"/>
          </w:tcPr>
          <w:p>
            <w:pPr>
              <w:pStyle w:val="0"/>
              <w:jc w:val="both"/>
            </w:pPr>
            <w:r>
              <w:rPr>
                <w:sz w:val="20"/>
              </w:rPr>
              <w:t xml:space="preserve">В Управление Президента Российской Федерации по вопросам государственной службы, кадров и противодействия коррупции</w:t>
            </w:r>
          </w:p>
        </w:tc>
        <w:tc>
          <w:tcPr>
            <w:tcW w:w="5926" w:type="dxa"/>
          </w:tcPr>
          <w:p>
            <w:pPr>
              <w:pStyle w:val="0"/>
              <w:jc w:val="both"/>
            </w:pPr>
            <w:r>
              <w:rPr>
                <w:sz w:val="20"/>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tc>
          <w:tcPr>
            <w:tcW w:w="3119" w:type="dxa"/>
          </w:tcPr>
          <w:p>
            <w:pPr>
              <w:pStyle w:val="0"/>
              <w:jc w:val="both"/>
            </w:pPr>
            <w:r>
              <w:rPr>
                <w:sz w:val="20"/>
              </w:rPr>
              <w:t xml:space="preserve">В Департамент кадров Правительства Российской Федерации</w:t>
            </w:r>
          </w:p>
        </w:tc>
        <w:tc>
          <w:tcPr>
            <w:tcW w:w="5926" w:type="dxa"/>
          </w:tcPr>
          <w:p>
            <w:pPr>
              <w:pStyle w:val="0"/>
              <w:jc w:val="both"/>
            </w:pPr>
            <w:r>
              <w:rPr>
                <w:sz w:val="20"/>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tc>
          <w:tcPr>
            <w:tcW w:w="3119" w:type="dxa"/>
          </w:tcPr>
          <w:p>
            <w:pPr>
              <w:pStyle w:val="0"/>
              <w:jc w:val="both"/>
            </w:pPr>
            <w:r>
              <w:rPr>
                <w:sz w:val="20"/>
              </w:rPr>
              <w:t xml:space="preserve">В подразделение кадровой службы федерального государственного органа по профилактике коррупционных и иных правонарушений</w:t>
            </w:r>
          </w:p>
          <w:p>
            <w:pPr>
              <w:pStyle w:val="0"/>
              <w:jc w:val="both"/>
            </w:pPr>
            <w:r>
              <w:rPr>
                <w:sz w:val="20"/>
              </w:rPr>
              <w:t xml:space="preserve">(если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926" w:type="dxa"/>
          </w:tcPr>
          <w:p>
            <w:pPr>
              <w:pStyle w:val="0"/>
              <w:jc w:val="both"/>
            </w:pPr>
            <w:r>
              <w:rPr>
                <w:sz w:val="20"/>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tc>
          <w:tcPr>
            <w:tcW w:w="3119" w:type="dxa"/>
          </w:tcPr>
          <w:p>
            <w:pPr>
              <w:pStyle w:val="0"/>
              <w:jc w:val="both"/>
            </w:pPr>
            <w:r>
              <w:rPr>
                <w:sz w:val="20"/>
              </w:rPr>
              <w:t xml:space="preserve">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5926" w:type="dxa"/>
          </w:tcPr>
          <w:p>
            <w:pPr>
              <w:pStyle w:val="0"/>
              <w:jc w:val="both"/>
            </w:pPr>
            <w:r>
              <w:rPr>
                <w:sz w:val="20"/>
              </w:rPr>
              <w:t xml:space="preserve">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tc>
          <w:tcPr>
            <w:tcW w:w="3119" w:type="dxa"/>
          </w:tcPr>
          <w:p>
            <w:pPr>
              <w:pStyle w:val="0"/>
              <w:jc w:val="both"/>
            </w:pPr>
            <w:r>
              <w:rPr>
                <w:sz w:val="20"/>
              </w:rPr>
              <w:t xml:space="preserve">В подразделение по профилактике коррупционных и иных правонарушений Центрального банка Российской Федерации</w:t>
            </w:r>
          </w:p>
        </w:tc>
        <w:tc>
          <w:tcPr>
            <w:tcW w:w="5926" w:type="dxa"/>
          </w:tcPr>
          <w:p>
            <w:pPr>
              <w:pStyle w:val="0"/>
              <w:jc w:val="both"/>
            </w:pPr>
            <w:r>
              <w:rPr>
                <w:sz w:val="20"/>
              </w:rPr>
              <w:t xml:space="preserve">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w:t>
            </w:r>
          </w:p>
        </w:tc>
      </w:tr>
      <w:tr>
        <w:tc>
          <w:tcPr>
            <w:tcW w:w="3119" w:type="dxa"/>
          </w:tcPr>
          <w:p>
            <w:pPr>
              <w:pStyle w:val="0"/>
              <w:jc w:val="both"/>
            </w:pPr>
            <w:r>
              <w:rPr>
                <w:sz w:val="20"/>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926" w:type="dxa"/>
          </w:tcPr>
          <w:p>
            <w:pPr>
              <w:pStyle w:val="0"/>
              <w:jc w:val="both"/>
            </w:pPr>
            <w:r>
              <w:rPr>
                <w:sz w:val="20"/>
              </w:rPr>
              <w:t xml:space="preserve">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pPr>
        <w:pStyle w:val="0"/>
        <w:jc w:val="both"/>
      </w:pPr>
      <w:r>
        <w:rPr>
          <w:sz w:val="20"/>
        </w:rPr>
      </w:r>
    </w:p>
    <w:p>
      <w:pPr>
        <w:pStyle w:val="0"/>
        <w:ind w:firstLine="540"/>
        <w:jc w:val="both"/>
      </w:pPr>
      <w:r>
        <w:rPr>
          <w:sz w:val="20"/>
        </w:rPr>
        <w:t xml:space="preserve">43.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pPr>
        <w:pStyle w:val="0"/>
        <w:spacing w:before="200" w:line-rule="auto"/>
        <w:ind w:firstLine="540"/>
        <w:jc w:val="both"/>
      </w:pPr>
      <w:r>
        <w:rPr>
          <w:sz w:val="20"/>
        </w:rPr>
        <w:t xml:space="preserve">44.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pPr>
        <w:pStyle w:val="0"/>
        <w:spacing w:before="200" w:line-rule="auto"/>
        <w:ind w:firstLine="540"/>
        <w:jc w:val="both"/>
      </w:pPr>
      <w:r>
        <w:rPr>
          <w:sz w:val="20"/>
        </w:rPr>
        <w:t xml:space="preserve">45. 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(на непостоянной основе),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hyperlink w:history="0" r:id="rId4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pPr>
        <w:pStyle w:val="0"/>
        <w:spacing w:before="200" w:line-rule="auto"/>
        <w:ind w:firstLine="540"/>
        <w:jc w:val="both"/>
      </w:pPr>
      <w:r>
        <w:rPr>
          <w:sz w:val="20"/>
        </w:rPr>
        <w:t xml:space="preserve">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pPr>
        <w:pStyle w:val="0"/>
        <w:jc w:val="both"/>
      </w:pPr>
      <w:r>
        <w:rPr>
          <w:sz w:val="20"/>
        </w:rPr>
      </w:r>
    </w:p>
    <w:p>
      <w:pPr>
        <w:pStyle w:val="2"/>
        <w:outlineLvl w:val="1"/>
        <w:ind w:firstLine="540"/>
        <w:jc w:val="both"/>
      </w:pPr>
      <w:r>
        <w:rPr>
          <w:sz w:val="20"/>
        </w:rPr>
        <w:t xml:space="preserve">Рекомендуемые действия при невозможности представить Сведения вследствие не зависящих от служащего (работника) обстоятельств</w:t>
      </w:r>
    </w:p>
    <w:p>
      <w:pPr>
        <w:pStyle w:val="0"/>
        <w:spacing w:before="200" w:line-rule="auto"/>
        <w:ind w:firstLine="540"/>
        <w:jc w:val="both"/>
      </w:pPr>
      <w:r>
        <w:rPr>
          <w:sz w:val="20"/>
        </w:rPr>
        <w:t xml:space="preserve">46. В случае невозможности исполнения служащим (работником) обязанности представить Сведения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pPr>
        <w:pStyle w:val="0"/>
        <w:spacing w:before="200" w:line-rule="auto"/>
        <w:ind w:firstLine="540"/>
        <w:jc w:val="both"/>
      </w:pPr>
      <w:r>
        <w:rPr>
          <w:sz w:val="20"/>
        </w:rPr>
        <w:t xml:space="preserve">Конкретные не зависящие от служащего (работника) обстоятельства приведены в </w:t>
      </w:r>
      <w:hyperlink w:history="0" r:id="rId47" w:tooltip="Федеральный закон от 25.12.2008 N 273-ФЗ (ред. от 19.12.2023) &quot;О противодействии коррупции&quot; {КонсультантПлюс}">
        <w:r>
          <w:rPr>
            <w:sz w:val="20"/>
            <w:color w:val="0000ff"/>
          </w:rPr>
          <w:t xml:space="preserve">части 4 статьи 13</w:t>
        </w:r>
      </w:hyperlink>
      <w:r>
        <w:rPr>
          <w:sz w:val="20"/>
        </w:rPr>
        <w:t xml:space="preserve"> Федерального закона от 25 декабря 2008 г. N 273-ФЗ "О противодействии коррупции".</w:t>
      </w:r>
    </w:p>
    <w:p>
      <w:pPr>
        <w:pStyle w:val="0"/>
        <w:spacing w:before="200" w:line-rule="auto"/>
        <w:ind w:firstLine="540"/>
        <w:jc w:val="both"/>
      </w:pPr>
      <w:r>
        <w:rPr>
          <w:sz w:val="20"/>
        </w:rPr>
        <w:t xml:space="preserve">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pPr>
        <w:pStyle w:val="0"/>
        <w:spacing w:before="200" w:line-rule="auto"/>
        <w:ind w:firstLine="540"/>
        <w:jc w:val="both"/>
      </w:pPr>
      <w:r>
        <w:rPr>
          <w:sz w:val="20"/>
        </w:rPr>
        <w:t xml:space="preserve">47. Уведомление направляется также в случае невозможности по независящим обстоятельствам представления Сведений в отношении самого служащего (работника).</w:t>
      </w:r>
    </w:p>
    <w:p>
      <w:pPr>
        <w:pStyle w:val="0"/>
        <w:spacing w:before="200" w:line-rule="auto"/>
        <w:ind w:firstLine="540"/>
        <w:jc w:val="both"/>
      </w:pPr>
      <w:r>
        <w:rPr>
          <w:sz w:val="20"/>
        </w:rPr>
        <w:t xml:space="preserve">48. 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pPr>
        <w:pStyle w:val="0"/>
        <w:jc w:val="both"/>
      </w:pPr>
      <w:r>
        <w:rPr>
          <w:sz w:val="20"/>
        </w:rPr>
      </w:r>
    </w:p>
    <w:p>
      <w:pPr>
        <w:pStyle w:val="2"/>
        <w:outlineLvl w:val="0"/>
        <w:jc w:val="center"/>
      </w:pPr>
      <w:r>
        <w:rPr>
          <w:sz w:val="20"/>
        </w:rPr>
        <w:t xml:space="preserve">II. Заполнение </w:t>
      </w:r>
      <w:hyperlink w:history="0" r:id="rId4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о доходах, расходах, об имуществе</w:t>
      </w:r>
    </w:p>
    <w:p>
      <w:pPr>
        <w:pStyle w:val="2"/>
        <w:jc w:val="center"/>
      </w:pPr>
      <w:r>
        <w:rPr>
          <w:sz w:val="20"/>
        </w:rPr>
        <w:t xml:space="preserve">и обязательствах имущественного характера</w:t>
      </w:r>
    </w:p>
    <w:p>
      <w:pPr>
        <w:pStyle w:val="0"/>
        <w:jc w:val="both"/>
      </w:pPr>
      <w:r>
        <w:rPr>
          <w:sz w:val="20"/>
        </w:rPr>
      </w:r>
    </w:p>
    <w:p>
      <w:pPr>
        <w:pStyle w:val="0"/>
        <w:ind w:firstLine="540"/>
        <w:jc w:val="both"/>
      </w:pPr>
      <w:r>
        <w:rPr>
          <w:sz w:val="20"/>
        </w:rPr>
        <w:t xml:space="preserve">49. </w:t>
      </w:r>
      <w:hyperlink w:history="0" r:id="rId4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Форма</w:t>
        </w:r>
      </w:hyperlink>
      <w:r>
        <w:rPr>
          <w:sz w:val="20"/>
        </w:rPr>
        <w:t xml:space="preserve"> справки является унифицированной для всех лиц, на которых распространяется обязанность представлять Сведения.</w:t>
      </w:r>
    </w:p>
    <w:p>
      <w:pPr>
        <w:pStyle w:val="0"/>
        <w:spacing w:before="200" w:line-rule="auto"/>
        <w:ind w:firstLine="540"/>
        <w:jc w:val="both"/>
      </w:pPr>
      <w:r>
        <w:rPr>
          <w:sz w:val="20"/>
        </w:rPr>
        <w:t xml:space="preserve">50. </w:t>
      </w:r>
      <w:hyperlink w:history="0" r:id="rId5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Справку</w:t>
        </w:r>
      </w:hyperlink>
      <w:r>
        <w:rPr>
          <w:sz w:val="20"/>
        </w:rP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pPr>
        <w:pStyle w:val="0"/>
        <w:spacing w:before="200" w:line-rule="auto"/>
        <w:ind w:firstLine="540"/>
        <w:jc w:val="both"/>
      </w:pPr>
      <w:r>
        <w:rPr>
          <w:sz w:val="20"/>
        </w:rPr>
        <w:t xml:space="preserve">Например, заполнение </w:t>
      </w:r>
      <w:hyperlink w:history="0" r:id="rId5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на основании полученной информации из единой </w:t>
      </w:r>
      <w:hyperlink w:history="0" r:id="rId52"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формы</w:t>
        </w:r>
      </w:hyperlink>
      <w:r>
        <w:rPr>
          <w:sz w:val="20"/>
        </w:rPr>
        <w:t xml:space="preserve">, установленной Указанием Банка России от 27 мая 2021 г. N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w:history="0" r:id="rId5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pPr>
        <w:pStyle w:val="0"/>
        <w:spacing w:before="200" w:line-rule="auto"/>
        <w:ind w:firstLine="540"/>
        <w:jc w:val="both"/>
      </w:pPr>
      <w:r>
        <w:rPr>
          <w:sz w:val="20"/>
        </w:rPr>
        <w:t xml:space="preserve">К </w:t>
      </w:r>
      <w:hyperlink w:history="0" r:id="rId5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могут быть приложены любые документы, в том числе пояснения служащего (работника). При этом </w:t>
      </w:r>
      <w:hyperlink w:history="0" r:id="rId5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разделом 2</w:t>
        </w:r>
      </w:hyperlink>
      <w:r>
        <w:rPr>
          <w:sz w:val="20"/>
        </w:rPr>
        <w:t xml:space="preserve"> справки предусмотрен случай, при котором к </w:t>
      </w:r>
      <w:hyperlink w:history="0" r:id="rId5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в обязательном порядке прилагаются соответствующие документы. В иных случаях приложение является правом служащего (работника).</w:t>
      </w:r>
    </w:p>
    <w:p>
      <w:pPr>
        <w:pStyle w:val="0"/>
        <w:spacing w:before="200" w:line-rule="auto"/>
        <w:ind w:firstLine="540"/>
        <w:jc w:val="both"/>
      </w:pPr>
      <w:r>
        <w:rPr>
          <w:sz w:val="20"/>
        </w:rPr>
        <w:t xml:space="preserve">51. </w:t>
      </w:r>
      <w:hyperlink w:history="0" r:id="rId5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Справка</w:t>
        </w:r>
      </w:hyperlink>
      <w:r>
        <w:rPr>
          <w:sz w:val="20"/>
        </w:rPr>
        <w:t xml:space="preserve"> заполняется с использованием актуальной на дату представления Сведений 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pPr>
        <w:pStyle w:val="0"/>
        <w:spacing w:before="200" w:line-rule="auto"/>
        <w:ind w:firstLine="540"/>
        <w:jc w:val="both"/>
      </w:pPr>
      <w:r>
        <w:rPr>
          <w:sz w:val="20"/>
        </w:rPr>
        <w:t xml:space="preserve">При печати </w:t>
      </w:r>
      <w:hyperlink w:history="0" r:id="rId5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формируются зоны со служебной информацией (штриховые коды и т.п.), нанесение каких-либо пометок на которые не допускается.</w:t>
      </w:r>
    </w:p>
    <w:p>
      <w:pPr>
        <w:pStyle w:val="0"/>
        <w:spacing w:before="200" w:line-rule="auto"/>
        <w:ind w:firstLine="540"/>
        <w:jc w:val="both"/>
      </w:pPr>
      <w:r>
        <w:rPr>
          <w:sz w:val="20"/>
        </w:rPr>
        <w:t xml:space="preserve">52. СПО "Справки БК" размещено на официальном сайте Президента Российской Федерации (</w:t>
      </w:r>
      <w:r>
        <w:rPr>
          <w:sz w:val="20"/>
        </w:rPr>
        <w:t xml:space="preserve">http://www.kremlin.ru/structure/additional/12</w:t>
      </w:r>
      <w:r>
        <w:rPr>
          <w:sz w:val="20"/>
        </w:rPr>
        <w:t xml:space="preserve">),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r>
        <w:rPr>
          <w:sz w:val="20"/>
        </w:rPr>
        <w:t xml:space="preserve">https://gossluzhba.gov.ru/anticorruption/spravki_bk</w:t>
      </w:r>
      <w:r>
        <w:rPr>
          <w:sz w:val="20"/>
        </w:rPr>
        <w:t xml:space="preserve">).</w:t>
      </w:r>
    </w:p>
    <w:p>
      <w:pPr>
        <w:pStyle w:val="0"/>
        <w:spacing w:before="200" w:line-rule="auto"/>
        <w:ind w:firstLine="540"/>
        <w:jc w:val="both"/>
      </w:pPr>
      <w:r>
        <w:rPr>
          <w:sz w:val="20"/>
        </w:rPr>
        <w:t xml:space="preserve">53. При заполнении справок с использованием СПО "Справки БК" личной подписью заверяется только последний лист </w:t>
      </w:r>
      <w:hyperlink w:history="0" r:id="rId5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Наличие подписи на каждом листе (в пустой части страницы) не является нарушением. Лицу, представляющему </w:t>
      </w:r>
      <w:hyperlink w:history="0" r:id="rId6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рекомендуется распечатать, подписать и представить справки в течение одного дня (одной датой).</w:t>
      </w:r>
    </w:p>
    <w:p>
      <w:pPr>
        <w:pStyle w:val="0"/>
        <w:spacing w:before="200" w:line-rule="auto"/>
        <w:ind w:firstLine="540"/>
        <w:jc w:val="both"/>
      </w:pPr>
      <w:r>
        <w:rPr>
          <w:sz w:val="20"/>
        </w:rPr>
        <w:t xml:space="preserve">При этом не допускаются ситуации, при которых дата печати </w:t>
      </w:r>
      <w:hyperlink w:history="0" r:id="rId6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автоматически формируемая в правом нижнем углу каждого листа справки, будет ранее отчетной даты, указываемой на титульном </w:t>
      </w:r>
      <w:hyperlink w:history="0" r:id="rId6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листе</w:t>
        </w:r>
      </w:hyperlink>
      <w:r>
        <w:rPr>
          <w:sz w:val="20"/>
        </w:rPr>
        <w:t xml:space="preserve"> справки, или позднее даты заверения достоверности и полноты на последнем листе справки.</w:t>
      </w:r>
    </w:p>
    <w:p>
      <w:pPr>
        <w:pStyle w:val="0"/>
        <w:spacing w:before="200" w:line-rule="auto"/>
        <w:ind w:firstLine="540"/>
        <w:jc w:val="both"/>
      </w:pPr>
      <w:r>
        <w:rPr>
          <w:sz w:val="20"/>
        </w:rPr>
        <w:t xml:space="preserve">Также не рекомендуется осуществлять подмену листов </w:t>
      </w:r>
      <w:hyperlink w:history="0" r:id="rId6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pPr>
        <w:pStyle w:val="0"/>
        <w:spacing w:before="200" w:line-rule="auto"/>
        <w:ind w:firstLine="540"/>
        <w:jc w:val="both"/>
      </w:pPr>
      <w:r>
        <w:rPr>
          <w:sz w:val="20"/>
        </w:rPr>
        <w:t xml:space="preserve">Согласно Инструкции о порядке заполнения </w:t>
      </w:r>
      <w:hyperlink w:history="0" r:id="rId6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pPr>
        <w:pStyle w:val="0"/>
        <w:spacing w:before="200" w:line-rule="auto"/>
        <w:ind w:firstLine="540"/>
        <w:jc w:val="both"/>
      </w:pPr>
      <w:r>
        <w:rPr>
          <w:sz w:val="20"/>
        </w:rPr>
        <w:t xml:space="preserve">- для печати справок используется лазерный принтер, обеспечивающий качественную печать;</w:t>
      </w:r>
    </w:p>
    <w:p>
      <w:pPr>
        <w:pStyle w:val="0"/>
        <w:spacing w:before="200" w:line-rule="auto"/>
        <w:ind w:firstLine="540"/>
        <w:jc w:val="both"/>
      </w:pPr>
      <w:r>
        <w:rPr>
          <w:sz w:val="20"/>
        </w:rPr>
        <w:t xml:space="preserve">- не допускаются дефекты печати в виде полос, пятен (при дефектах барабана или картриджа принтера);</w:t>
      </w:r>
    </w:p>
    <w:p>
      <w:pPr>
        <w:pStyle w:val="0"/>
        <w:spacing w:before="200" w:line-rule="auto"/>
        <w:ind w:firstLine="540"/>
        <w:jc w:val="both"/>
      </w:pPr>
      <w:r>
        <w:rPr>
          <w:sz w:val="20"/>
        </w:rPr>
        <w:t xml:space="preserve">- не допускается наличие подписи и пометок на линейных и двумерных штрих-кодах (подпись на </w:t>
      </w:r>
      <w:hyperlink w:history="0" r:id="rId6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pPr>
        <w:pStyle w:val="0"/>
        <w:spacing w:before="200" w:line-rule="auto"/>
        <w:ind w:firstLine="540"/>
        <w:jc w:val="both"/>
      </w:pPr>
      <w:r>
        <w:rPr>
          <w:sz w:val="20"/>
        </w:rPr>
        <w:t xml:space="preserve">- не допускаются рукописные правки.</w:t>
      </w:r>
    </w:p>
    <w:p>
      <w:pPr>
        <w:pStyle w:val="0"/>
        <w:spacing w:before="200" w:line-rule="auto"/>
        <w:ind w:firstLine="540"/>
        <w:jc w:val="both"/>
      </w:pPr>
      <w:hyperlink w:history="0" r:id="rId6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не следует прошивать и фиксировать скрепкой.</w:t>
      </w:r>
    </w:p>
    <w:p>
      <w:pPr>
        <w:pStyle w:val="0"/>
        <w:spacing w:before="200" w:line-rule="auto"/>
        <w:ind w:firstLine="540"/>
        <w:jc w:val="both"/>
      </w:pPr>
      <w:r>
        <w:rPr>
          <w:sz w:val="20"/>
        </w:rPr>
        <w:t xml:space="preserve">Печатать </w:t>
      </w:r>
      <w:hyperlink w:history="0" r:id="rId6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рекомендуется только на одной стороне листа.</w:t>
      </w:r>
    </w:p>
    <w:bookmarkStart w:id="241" w:name="P241"/>
    <w:bookmarkEnd w:id="241"/>
    <w:p>
      <w:pPr>
        <w:pStyle w:val="0"/>
        <w:spacing w:before="200" w:line-rule="auto"/>
        <w:ind w:firstLine="540"/>
        <w:jc w:val="both"/>
      </w:pPr>
      <w:r>
        <w:rPr>
          <w:sz w:val="20"/>
        </w:rPr>
        <w:t xml:space="preserve">54. В </w:t>
      </w:r>
      <w:hyperlink w:history="0" r:id="rId6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w:t>
      </w:r>
      <w:r>
        <w:rPr>
          <w:sz w:val="20"/>
        </w:rPr>
        <w:t xml:space="preserve">https://www.cbr.ru/currency_base/daily/</w:t>
      </w:r>
      <w:r>
        <w:rPr>
          <w:sz w:val="20"/>
        </w:rPr>
        <w:t xml:space="preserve">.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pPr>
        <w:pStyle w:val="0"/>
        <w:jc w:val="both"/>
      </w:pPr>
      <w:r>
        <w:rPr>
          <w:sz w:val="20"/>
        </w:rPr>
      </w:r>
    </w:p>
    <w:p>
      <w:pPr>
        <w:pStyle w:val="2"/>
        <w:outlineLvl w:val="1"/>
        <w:jc w:val="center"/>
      </w:pPr>
      <w:r>
        <w:rPr>
          <w:sz w:val="20"/>
        </w:rPr>
        <w:t xml:space="preserve">ТИТУЛЬНЫЙ ЛИСТ</w:t>
      </w:r>
    </w:p>
    <w:p>
      <w:pPr>
        <w:pStyle w:val="0"/>
        <w:jc w:val="both"/>
      </w:pPr>
      <w:r>
        <w:rPr>
          <w:sz w:val="20"/>
        </w:rPr>
      </w:r>
    </w:p>
    <w:p>
      <w:pPr>
        <w:pStyle w:val="0"/>
        <w:ind w:firstLine="540"/>
        <w:jc w:val="both"/>
      </w:pPr>
      <w:r>
        <w:rPr>
          <w:sz w:val="20"/>
        </w:rPr>
        <w:t xml:space="preserve">55. При заполнении титульного </w:t>
      </w:r>
      <w:hyperlink w:history="0" r:id="rId6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листа</w:t>
        </w:r>
      </w:hyperlink>
      <w:r>
        <w:rPr>
          <w:sz w:val="20"/>
        </w:rPr>
        <w:t xml:space="preserve"> справки рекомендуется обратить внимание на следующее:</w:t>
      </w:r>
    </w:p>
    <w:p>
      <w:pPr>
        <w:pStyle w:val="0"/>
        <w:spacing w:before="200" w:line-rule="auto"/>
        <w:ind w:firstLine="540"/>
        <w:jc w:val="both"/>
      </w:pPr>
      <w:r>
        <w:rPr>
          <w:sz w:val="20"/>
        </w:rP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w:history="0" r:id="rId7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pPr>
        <w:pStyle w:val="0"/>
        <w:spacing w:before="200" w:line-rule="auto"/>
        <w:ind w:firstLine="540"/>
        <w:jc w:val="both"/>
      </w:pPr>
      <w:r>
        <w:rPr>
          <w:sz w:val="20"/>
        </w:rPr>
        <w:t xml:space="preserve">2) дата рождения (год рождения) указывается в соответствии с записью в документе, удостоверяющем личность;</w:t>
      </w:r>
    </w:p>
    <w:p>
      <w:pPr>
        <w:pStyle w:val="0"/>
        <w:spacing w:before="200" w:line-rule="auto"/>
        <w:ind w:firstLine="540"/>
        <w:jc w:val="both"/>
      </w:pPr>
      <w:r>
        <w:rPr>
          <w:sz w:val="20"/>
        </w:rPr>
        <w:t xml:space="preserve">3) страховой номер индивидуального лицевого счета (СНИЛС) указывается при наличии. При этом в соответствии с Федеральным </w:t>
      </w:r>
      <w:hyperlink w:history="0" r:id="rId71"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законом</w:t>
        </w:r>
      </w:hyperlink>
      <w:r>
        <w:rPr>
          <w:sz w:val="20"/>
        </w:rP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pPr>
        <w:pStyle w:val="0"/>
        <w:spacing w:before="200" w:line-rule="auto"/>
        <w:ind w:firstLine="540"/>
        <w:jc w:val="both"/>
      </w:pPr>
      <w:r>
        <w:rPr>
          <w:sz w:val="20"/>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w:history="0" r:id="rId7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w:t>
      </w:r>
      <w:hyperlink w:history="0" r:id="rId7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место службы (работы) указывается: "временно неработающий, претендующий на замещение "наименование должности".</w:t>
      </w:r>
    </w:p>
    <w:p>
      <w:pPr>
        <w:pStyle w:val="0"/>
        <w:spacing w:before="200" w:line-rule="auto"/>
        <w:ind w:firstLine="540"/>
        <w:jc w:val="both"/>
      </w:pPr>
      <w:r>
        <w:rPr>
          <w:sz w:val="20"/>
        </w:rPr>
        <w:t xml:space="preserve">Если Сведения представляются в отношении несовершеннолетнего ребенка, то в </w:t>
      </w:r>
      <w:hyperlink w:history="0" r:id="rId7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"род занятий" рекомендуется указывать образовательную организацию, обучающимся которой он является, или "находится на домашнем воспитании".</w:t>
      </w:r>
    </w:p>
    <w:p>
      <w:pPr>
        <w:pStyle w:val="0"/>
        <w:spacing w:before="200" w:line-rule="auto"/>
        <w:ind w:firstLine="540"/>
        <w:jc w:val="both"/>
      </w:pPr>
      <w:r>
        <w:rPr>
          <w:sz w:val="20"/>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w:history="0" r:id="rId7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w:history="0" r:id="rId7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"род занятий" рекомендуется указывать "временно неработающий" или "домохозяйка" ("домохозяин").</w:t>
      </w:r>
    </w:p>
    <w:p>
      <w:pPr>
        <w:pStyle w:val="0"/>
        <w:spacing w:before="200" w:line-rule="auto"/>
        <w:ind w:firstLine="540"/>
        <w:jc w:val="both"/>
      </w:pPr>
      <w:r>
        <w:rPr>
          <w:sz w:val="20"/>
        </w:rPr>
        <w:t xml:space="preserve">Лицу, осуществляющему уход за нетрудоспособными гражданами, в рассматриваемой </w:t>
      </w:r>
      <w:hyperlink w:history="0" r:id="rId7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рекомендуется указывать "осуществляющий уход за нетрудоспособным гражданином".</w:t>
      </w:r>
    </w:p>
    <w:p>
      <w:pPr>
        <w:pStyle w:val="0"/>
        <w:spacing w:before="200" w:line-rule="auto"/>
        <w:ind w:firstLine="540"/>
        <w:jc w:val="both"/>
      </w:pPr>
      <w:r>
        <w:rPr>
          <w:sz w:val="20"/>
        </w:rPr>
        <w:t xml:space="preserve">В случае прохождения военной службы супругом (супругой) при заполнении титульного </w:t>
      </w:r>
      <w:hyperlink w:history="0" r:id="rId7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листа</w:t>
        </w:r>
      </w:hyperlink>
      <w:r>
        <w:rPr>
          <w:sz w:val="20"/>
        </w:rPr>
        <w:t xml:space="preserve">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w:t>
      </w:r>
      <w:hyperlink w:history="0" r:id="rId7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сведений о должностях военнослужащих, замещаемых ими в конкретных войсковых частях, представляется нецелесообразным.</w:t>
      </w:r>
    </w:p>
    <w:p>
      <w:pPr>
        <w:pStyle w:val="0"/>
        <w:spacing w:before="200" w:line-rule="auto"/>
        <w:ind w:firstLine="540"/>
        <w:jc w:val="both"/>
      </w:pPr>
      <w:r>
        <w:rPr>
          <w:sz w:val="20"/>
        </w:rPr>
        <w:t xml:space="preserve">Представление депутатом представительного органа муниципального образования высшему должностному лицу субъекта Российской Федерации </w:t>
      </w:r>
      <w:hyperlink w:history="0" r:id="rId8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w:history="0" r:id="rId81"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pPr>
        <w:pStyle w:val="0"/>
        <w:spacing w:before="200" w:line-rule="auto"/>
        <w:ind w:firstLine="540"/>
        <w:jc w:val="both"/>
      </w:pPr>
      <w:r>
        <w:rPr>
          <w:sz w:val="20"/>
        </w:rPr>
        <w:t xml:space="preserve">5) при наличии на отчетную дату нескольких мест работы на титульном </w:t>
      </w:r>
      <w:hyperlink w:history="0" r:id="rId8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листе</w:t>
        </w:r>
      </w:hyperlink>
      <w:r>
        <w:rPr>
          <w:sz w:val="20"/>
        </w:rP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pPr>
        <w:pStyle w:val="0"/>
        <w:spacing w:before="200" w:line-rule="auto"/>
        <w:ind w:firstLine="540"/>
        <w:jc w:val="both"/>
      </w:pPr>
      <w:r>
        <w:rPr>
          <w:sz w:val="20"/>
        </w:rPr>
        <w:t xml:space="preserve">При заполнении </w:t>
      </w:r>
      <w:hyperlink w:history="0" r:id="rId8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pPr>
        <w:pStyle w:val="0"/>
        <w:spacing w:before="200" w:line-rule="auto"/>
        <w:ind w:firstLine="540"/>
        <w:jc w:val="both"/>
      </w:pPr>
      <w:r>
        <w:rPr>
          <w:sz w:val="20"/>
        </w:rPr>
        <w:t xml:space="preserve">При заполнении </w:t>
      </w:r>
      <w:hyperlink w:history="0" r:id="rId8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лица, зарегистрированного в качестве индивидуального предпринимателя, рекомендуется указывать соответствующий статус.</w:t>
      </w:r>
    </w:p>
    <w:p>
      <w:pPr>
        <w:pStyle w:val="0"/>
        <w:spacing w:before="200" w:line-rule="auto"/>
        <w:ind w:firstLine="540"/>
        <w:jc w:val="both"/>
      </w:pPr>
      <w:r>
        <w:rPr>
          <w:sz w:val="20"/>
        </w:rPr>
        <w:t xml:space="preserve">При заполнении </w:t>
      </w:r>
      <w:hyperlink w:history="0" r:id="rId8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pPr>
        <w:pStyle w:val="0"/>
        <w:spacing w:before="200" w:line-rule="auto"/>
        <w:ind w:firstLine="540"/>
        <w:jc w:val="both"/>
      </w:pPr>
      <w:r>
        <w:rPr>
          <w:sz w:val="20"/>
        </w:rPr>
        <w:t xml:space="preserve">6) адрес места регистрации указывается по состоянию на дату представления </w:t>
      </w:r>
      <w:hyperlink w:history="0" r:id="rId8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pPr>
        <w:pStyle w:val="0"/>
        <w:jc w:val="both"/>
      </w:pPr>
      <w:r>
        <w:rPr>
          <w:sz w:val="20"/>
        </w:rPr>
      </w:r>
    </w:p>
    <w:p>
      <w:pPr>
        <w:pStyle w:val="2"/>
        <w:outlineLvl w:val="1"/>
        <w:jc w:val="center"/>
      </w:pPr>
      <w:hyperlink w:history="0" r:id="rId8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 1</w:t>
        </w:r>
      </w:hyperlink>
      <w:r>
        <w:rPr>
          <w:sz w:val="20"/>
        </w:rPr>
        <w:t xml:space="preserve">. СВЕДЕНИЯ О ДОХОДАХ</w:t>
      </w:r>
    </w:p>
    <w:p>
      <w:pPr>
        <w:pStyle w:val="0"/>
        <w:jc w:val="both"/>
      </w:pPr>
      <w:r>
        <w:rPr>
          <w:sz w:val="20"/>
        </w:rPr>
      </w:r>
    </w:p>
    <w:p>
      <w:pPr>
        <w:pStyle w:val="0"/>
        <w:ind w:firstLine="540"/>
        <w:jc w:val="both"/>
      </w:pPr>
      <w:r>
        <w:rPr>
          <w:sz w:val="20"/>
        </w:rPr>
        <w:t xml:space="preserve">56. При заполнении данного </w:t>
      </w:r>
      <w:hyperlink w:history="0" r:id="rId8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w:t>
        </w:r>
      </w:hyperlink>
      <w:r>
        <w:rPr>
          <w:sz w:val="20"/>
        </w:rPr>
        <w:t xml:space="preserve"> справки не следует руководствоваться только содержанием термина "доход", определенного в </w:t>
      </w:r>
      <w:hyperlink w:history="0" r:id="rId89" w:tooltip="&quot;Налоговый кодекс Российской Федерации (часть первая)&quot; от 31.07.1998 N 146-ФЗ (ред. от 19.12.2023) (с изм. и доп., вступ. в силу с 01.03.2024) {КонсультантПлюс}">
        <w:r>
          <w:rPr>
            <w:sz w:val="20"/>
            <w:color w:val="0000ff"/>
          </w:rPr>
          <w:t xml:space="preserve">статье 41</w:t>
        </w:r>
      </w:hyperlink>
      <w:r>
        <w:rPr>
          <w:sz w:val="20"/>
        </w:rP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pPr>
        <w:pStyle w:val="0"/>
        <w:spacing w:before="200" w:line-rule="auto"/>
        <w:ind w:firstLine="540"/>
        <w:jc w:val="both"/>
      </w:pPr>
      <w:r>
        <w:rPr>
          <w:sz w:val="20"/>
        </w:rPr>
        <w:t xml:space="preserve">57. 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w:t>
      </w:r>
      <w:hyperlink w:history="0" r:id="rId9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справки служащего (работника)).</w:t>
      </w:r>
    </w:p>
    <w:p>
      <w:pPr>
        <w:pStyle w:val="0"/>
        <w:jc w:val="both"/>
      </w:pPr>
      <w:r>
        <w:rPr>
          <w:sz w:val="20"/>
        </w:rPr>
      </w:r>
    </w:p>
    <w:p>
      <w:pPr>
        <w:pStyle w:val="2"/>
        <w:outlineLvl w:val="2"/>
        <w:ind w:firstLine="540"/>
        <w:jc w:val="both"/>
      </w:pPr>
      <w:r>
        <w:rPr>
          <w:sz w:val="20"/>
        </w:rPr>
        <w:t xml:space="preserve">Доход по основному месту работы</w:t>
      </w:r>
    </w:p>
    <w:p>
      <w:pPr>
        <w:pStyle w:val="0"/>
        <w:spacing w:before="200" w:line-rule="auto"/>
        <w:ind w:firstLine="540"/>
        <w:jc w:val="both"/>
      </w:pPr>
      <w:r>
        <w:rPr>
          <w:sz w:val="20"/>
        </w:rPr>
        <w:t xml:space="preserve">58. В данной </w:t>
      </w:r>
      <w:hyperlink w:history="0" r:id="rId9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hyperlink w:history="0" r:id="rId92" w:tooltip="Приказ ФНС России от 15.10.2020 N ЕД-7-11/753@ (ред. от 29.09.2022)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 ------------ Утратил силу или отменен {КонсультантПлюс}">
        <w:r>
          <w:rPr>
            <w:sz w:val="20"/>
            <w:color w:val="0000ff"/>
          </w:rPr>
          <w:t xml:space="preserve">Справке</w:t>
        </w:r>
      </w:hyperlink>
      <w:r>
        <w:rPr>
          <w:sz w:val="20"/>
        </w:rPr>
        <w:t xml:space="preserve"> о доходах и суммах налога физического лица, выдаваемой по месту службы (работы) (графа "Общая сумма дохода"). Если по основному месту работы получен доход, который не включен в </w:t>
      </w:r>
      <w:hyperlink w:history="0" r:id="rId93" w:tooltip="Приказ ФНС России от 15.10.2020 N ЕД-7-11/753@ (ред. от 29.09.2022)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 ------------ Утратил силу или отменен {КонсультантПлюс}">
        <w:r>
          <w:rPr>
            <w:sz w:val="20"/>
            <w:color w:val="0000ff"/>
          </w:rPr>
          <w:t xml:space="preserve">Справку</w:t>
        </w:r>
      </w:hyperlink>
      <w:r>
        <w:rPr>
          <w:sz w:val="20"/>
        </w:rPr>
        <w:t xml:space="preserve"> о доходах и суммах налога физического лица, он подлежит указанию в иных доходах.</w:t>
      </w:r>
    </w:p>
    <w:p>
      <w:pPr>
        <w:pStyle w:val="0"/>
        <w:spacing w:before="200" w:line-rule="auto"/>
        <w:ind w:firstLine="540"/>
        <w:jc w:val="both"/>
      </w:pPr>
      <w:r>
        <w:rPr>
          <w:sz w:val="20"/>
        </w:rPr>
        <w:t xml:space="preserve">Служащий (работник) может представить пояснения, если его доходы, указанные в </w:t>
      </w:r>
      <w:hyperlink w:history="0" r:id="rId9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1</w:t>
        </w:r>
      </w:hyperlink>
      <w:r>
        <w:rPr>
          <w:sz w:val="20"/>
        </w:rPr>
        <w:t xml:space="preserve"> справки и в </w:t>
      </w:r>
      <w:hyperlink w:history="0" r:id="rId95" w:tooltip="Приказ ФНС России от 15.10.2020 N ЕД-7-11/753@ (ред. от 29.09.2022)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 ------------ Утратил силу или отменен {КонсультантПлюс}">
        <w:r>
          <w:rPr>
            <w:sz w:val="20"/>
            <w:color w:val="0000ff"/>
          </w:rPr>
          <w:t xml:space="preserve">Справке</w:t>
        </w:r>
      </w:hyperlink>
      <w:r>
        <w:rPr>
          <w:sz w:val="20"/>
        </w:rPr>
        <w:t xml:space="preserve"> о доходах и суммах налога физического лица отличаются, и приложить их к справке.</w:t>
      </w:r>
    </w:p>
    <w:p>
      <w:pPr>
        <w:pStyle w:val="0"/>
        <w:spacing w:before="200" w:line-rule="auto"/>
        <w:ind w:firstLine="540"/>
        <w:jc w:val="both"/>
      </w:pPr>
      <w:r>
        <w:rPr>
          <w:sz w:val="20"/>
        </w:rPr>
        <w:t xml:space="preserve">59.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w:history="0" r:id="rId9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"Иные доходы". При этом в </w:t>
      </w:r>
      <w:hyperlink w:history="0" r:id="rId9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"Вид дохода" указывается предыдущее место работы.</w:t>
      </w:r>
    </w:p>
    <w:p>
      <w:pPr>
        <w:pStyle w:val="0"/>
        <w:jc w:val="both"/>
      </w:pPr>
      <w:r>
        <w:rPr>
          <w:sz w:val="20"/>
        </w:rPr>
      </w:r>
    </w:p>
    <w:p>
      <w:pPr>
        <w:pStyle w:val="2"/>
        <w:outlineLvl w:val="2"/>
        <w:ind w:firstLine="540"/>
        <w:jc w:val="both"/>
      </w:pPr>
      <w:r>
        <w:rPr>
          <w:sz w:val="20"/>
        </w:rPr>
        <w:t xml:space="preserve">Особенности заполнения данной графы отдельными категориями лиц</w:t>
      </w:r>
    </w:p>
    <w:bookmarkStart w:id="272" w:name="P272"/>
    <w:bookmarkEnd w:id="272"/>
    <w:p>
      <w:pPr>
        <w:pStyle w:val="0"/>
        <w:spacing w:before="200" w:line-rule="auto"/>
        <w:ind w:firstLine="540"/>
        <w:jc w:val="both"/>
      </w:pPr>
      <w:r>
        <w:rPr>
          <w:sz w:val="20"/>
        </w:rPr>
        <w:t xml:space="preserve">60.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pPr>
        <w:pStyle w:val="0"/>
        <w:spacing w:before="200" w:line-rule="auto"/>
        <w:ind w:firstLine="540"/>
        <w:jc w:val="both"/>
      </w:pPr>
      <w:r>
        <w:rPr>
          <w:sz w:val="20"/>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w:t>
      </w:r>
      <w:hyperlink w:history="0" r:id="rId98" w:tooltip="Приказ ФНС России от 25.12.2020 N ЕД-7-3/958@ (ред. от 01.11.2022) &quot;Об утверждении формы, порядка заполнения и формата представления налоговой декларации по налогу, уплачиваемому в связи с применением упрощенной системы налогообложения, в электронной форме и о признании утратившим силу приказа ФНС России от 26.02.2016 N ММВ-7-3/99@&quot; (Зарегистрировано в Минюсте России 20.01.2021 N 62152) {КонсультантПлюс}">
        <w:r>
          <w:rPr>
            <w:sz w:val="20"/>
            <w:color w:val="0000ff"/>
          </w:rPr>
          <w:t xml:space="preserve">декларации</w:t>
        </w:r>
      </w:hyperlink>
      <w:r>
        <w:rPr>
          <w:sz w:val="20"/>
        </w:rPr>
        <w:t xml:space="preserve">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w:history="0" r:id="rId9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w:t>
      </w:r>
    </w:p>
    <w:p>
      <w:pPr>
        <w:pStyle w:val="0"/>
        <w:spacing w:before="200" w:line-rule="auto"/>
        <w:ind w:firstLine="540"/>
        <w:jc w:val="both"/>
      </w:pPr>
      <w:r>
        <w:rPr>
          <w:sz w:val="20"/>
        </w:rP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w:history="0" r:id="rId100" w:tooltip="&quot;Налоговый кодекс Российской Федерации (часть вторая)&quot; от 05.08.2000 N 117-ФЗ (ред. от 26.02.2024) {КонсультантПлюс}">
        <w:r>
          <w:rPr>
            <w:sz w:val="20"/>
            <w:color w:val="0000ff"/>
          </w:rPr>
          <w:t xml:space="preserve">статьей 249</w:t>
        </w:r>
      </w:hyperlink>
      <w:r>
        <w:rPr>
          <w:sz w:val="20"/>
        </w:rPr>
        <w:t xml:space="preserve"> Налогового кодекса РФ, которая подлежит отражению в книге учета доходов индивидуального предпринимателя, применяющего ПСН;</w:t>
      </w:r>
    </w:p>
    <w:p>
      <w:pPr>
        <w:pStyle w:val="0"/>
        <w:spacing w:before="200" w:line-rule="auto"/>
        <w:ind w:firstLine="540"/>
        <w:jc w:val="both"/>
      </w:pPr>
      <w:r>
        <w:rPr>
          <w:sz w:val="20"/>
        </w:rPr>
        <w:t xml:space="preserve">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w:t>
      </w:r>
      <w:hyperlink w:history="0" r:id="rId101" w:tooltip="Приказ ФНС России от 28.07.2014 N ММВ-7-3/384@ (ред. от 18.12.2020) &quot;Об утверждении формы налоговой декларации по единому сельскохозяйственному налогу, порядка ее заполнения, а также формата представления налоговой декларации по единому сельскохозяйственному налогу в электронной форме&quot; (Зарегистрировано в Минюсте России 10.11.2014 N 34620) {КонсультантПлюс}">
        <w:r>
          <w:rPr>
            <w:sz w:val="20"/>
            <w:color w:val="0000ff"/>
          </w:rPr>
          <w:t xml:space="preserve">декларации</w:t>
        </w:r>
      </w:hyperlink>
      <w:r>
        <w:rPr>
          <w:sz w:val="20"/>
        </w:rPr>
        <w:t xml:space="preserve"> по ЕСХН, независимо от объекта налогообложения.</w:t>
      </w:r>
    </w:p>
    <w:p>
      <w:pPr>
        <w:pStyle w:val="0"/>
        <w:spacing w:before="200" w:line-rule="auto"/>
        <w:ind w:firstLine="540"/>
        <w:jc w:val="both"/>
      </w:pPr>
      <w:r>
        <w:rPr>
          <w:sz w:val="20"/>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w:t>
      </w:r>
      <w:hyperlink w:history="0" r:id="rId10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"Доход по основному месту работы" 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w:t>
      </w:r>
      <w:hyperlink w:history="0" r:id="rId10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"Иные доходы" 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налогового режима).</w:t>
      </w:r>
    </w:p>
    <w:p>
      <w:pPr>
        <w:pStyle w:val="0"/>
        <w:spacing w:before="200" w:line-rule="auto"/>
        <w:ind w:firstLine="540"/>
        <w:jc w:val="both"/>
      </w:pPr>
      <w:r>
        <w:rPr>
          <w:sz w:val="20"/>
        </w:rPr>
        <w:t xml:space="preserve">61. При заполнении данного </w:t>
      </w:r>
      <w:hyperlink w:history="0" r:id="rId10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w:t>
        </w:r>
      </w:hyperlink>
      <w:r>
        <w:rPr>
          <w:sz w:val="20"/>
        </w:rPr>
        <w:t xml:space="preserve"> лицом, замещающим муниципальную должность на непостоянной основе, указывается доход по основному месту работы.</w:t>
      </w:r>
    </w:p>
    <w:p>
      <w:pPr>
        <w:pStyle w:val="0"/>
        <w:spacing w:before="200" w:line-rule="auto"/>
        <w:ind w:firstLine="540"/>
        <w:jc w:val="both"/>
      </w:pPr>
      <w:r>
        <w:rPr>
          <w:sz w:val="20"/>
        </w:rPr>
        <w:t xml:space="preserve">62.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pPr>
        <w:pStyle w:val="0"/>
        <w:spacing w:before="200" w:line-rule="auto"/>
        <w:ind w:firstLine="540"/>
        <w:jc w:val="both"/>
      </w:pPr>
      <w:r>
        <w:rPr>
          <w:sz w:val="20"/>
        </w:rPr>
        <w:t xml:space="preserve">63.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w:t>
      </w:r>
      <w:hyperlink w:history="0" r:id="rId105" w:tooltip="&lt;Письмо&gt; Минтруда России от 19.04.2021 N 28-6/10/В-4623 &lt;О направлении Разъяснений по вопросу возможности применения отдельными категориями лиц специального налогового режима &quot;Налог на профессиональный доход&quot;&gt; {КонсультантПлюс}">
        <w:r>
          <w:rPr>
            <w:sz w:val="20"/>
            <w:color w:val="0000ff"/>
          </w:rPr>
          <w:t xml:space="preserve">письме</w:t>
        </w:r>
      </w:hyperlink>
      <w:r>
        <w:rPr>
          <w:sz w:val="20"/>
        </w:rPr>
        <w:t xml:space="preserve"> Минтруда России от 19 апреля 2021 г. N 28-6/10/В-4623 (</w:t>
      </w:r>
      <w:r>
        <w:rPr>
          <w:sz w:val="20"/>
        </w:rPr>
        <w:t xml:space="preserve">https://mintrud.gov.ru/docs/1872</w:t>
      </w:r>
      <w:r>
        <w:rPr>
          <w:sz w:val="20"/>
        </w:rPr>
        <w:t xml:space="preserve">).</w:t>
      </w:r>
    </w:p>
    <w:p>
      <w:pPr>
        <w:pStyle w:val="0"/>
        <w:jc w:val="both"/>
      </w:pPr>
      <w:r>
        <w:rPr>
          <w:sz w:val="20"/>
        </w:rPr>
      </w:r>
    </w:p>
    <w:p>
      <w:pPr>
        <w:pStyle w:val="2"/>
        <w:outlineLvl w:val="2"/>
        <w:ind w:firstLine="540"/>
        <w:jc w:val="both"/>
      </w:pPr>
      <w:r>
        <w:rPr>
          <w:sz w:val="20"/>
        </w:rPr>
        <w:t xml:space="preserve">Доход от педагогической и научной деятельности</w:t>
      </w:r>
    </w:p>
    <w:p>
      <w:pPr>
        <w:pStyle w:val="0"/>
        <w:spacing w:before="200" w:line-rule="auto"/>
        <w:ind w:firstLine="540"/>
        <w:jc w:val="both"/>
      </w:pPr>
      <w:r>
        <w:rPr>
          <w:sz w:val="20"/>
        </w:rPr>
        <w:t xml:space="preserve">64. В данной </w:t>
      </w:r>
      <w:hyperlink w:history="0" r:id="rId10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указывается сумма дохода от педагогической деятельности (сумма дохода, содержащаяся в </w:t>
      </w:r>
      <w:hyperlink w:history="0" r:id="rId107" w:tooltip="Приказ ФНС России от 15.10.2020 N ЕД-7-11/753@ (ред. от 29.09.2022)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 ------------ Утратил силу или отменен {КонсультантПлюс}">
        <w:r>
          <w:rPr>
            <w:sz w:val="20"/>
            <w:color w:val="0000ff"/>
          </w:rPr>
          <w:t xml:space="preserve">Справке</w:t>
        </w:r>
      </w:hyperlink>
      <w:r>
        <w:rPr>
          <w:sz w:val="20"/>
        </w:rPr>
        <w:t xml:space="preserve">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pPr>
        <w:pStyle w:val="0"/>
        <w:spacing w:before="200" w:line-rule="auto"/>
        <w:ind w:firstLine="540"/>
        <w:jc w:val="both"/>
      </w:pPr>
      <w:r>
        <w:rPr>
          <w:sz w:val="20"/>
        </w:rPr>
        <w:t xml:space="preserve">65.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w:history="0" r:id="rId10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"Доход по основному месту работы", а не в </w:t>
      </w:r>
      <w:hyperlink w:history="0" r:id="rId10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"Доход от педагогической и научной деятельности".</w:t>
      </w:r>
    </w:p>
    <w:p>
      <w:pPr>
        <w:pStyle w:val="0"/>
        <w:jc w:val="both"/>
      </w:pPr>
      <w:r>
        <w:rPr>
          <w:sz w:val="20"/>
        </w:rPr>
      </w:r>
    </w:p>
    <w:p>
      <w:pPr>
        <w:pStyle w:val="2"/>
        <w:outlineLvl w:val="2"/>
        <w:ind w:firstLine="540"/>
        <w:jc w:val="both"/>
      </w:pPr>
      <w:r>
        <w:rPr>
          <w:sz w:val="20"/>
        </w:rPr>
        <w:t xml:space="preserve">Доход от иной творческой деятельности</w:t>
      </w:r>
    </w:p>
    <w:p>
      <w:pPr>
        <w:pStyle w:val="0"/>
        <w:spacing w:before="200" w:line-rule="auto"/>
        <w:ind w:firstLine="540"/>
        <w:jc w:val="both"/>
      </w:pPr>
      <w:r>
        <w:rPr>
          <w:sz w:val="20"/>
        </w:rPr>
        <w:t xml:space="preserve">66. В данной </w:t>
      </w:r>
      <w:hyperlink w:history="0" r:id="rId11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pPr>
        <w:pStyle w:val="0"/>
        <w:spacing w:before="200" w:line-rule="auto"/>
        <w:ind w:firstLine="540"/>
        <w:jc w:val="both"/>
      </w:pPr>
      <w:r>
        <w:rPr>
          <w:sz w:val="20"/>
        </w:rPr>
        <w:t xml:space="preserve">67. Подлежат указанию в строках "</w:t>
      </w:r>
      <w:hyperlink w:history="0" r:id="rId11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Доход</w:t>
        </w:r>
      </w:hyperlink>
      <w:r>
        <w:rPr>
          <w:sz w:val="20"/>
        </w:rPr>
        <w:t xml:space="preserve"> от педагогической и научной деятельности" и "</w:t>
      </w:r>
      <w:hyperlink w:history="0" r:id="rId11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Доход</w:t>
        </w:r>
      </w:hyperlink>
      <w:r>
        <w:rPr>
          <w:sz w:val="20"/>
        </w:rPr>
        <w:t xml:space="preserve"> от иной творческой деятельности"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pPr>
        <w:pStyle w:val="0"/>
        <w:jc w:val="both"/>
      </w:pPr>
      <w:r>
        <w:rPr>
          <w:sz w:val="20"/>
        </w:rPr>
      </w:r>
    </w:p>
    <w:p>
      <w:pPr>
        <w:pStyle w:val="2"/>
        <w:outlineLvl w:val="2"/>
        <w:ind w:firstLine="540"/>
        <w:jc w:val="both"/>
      </w:pPr>
      <w:r>
        <w:rPr>
          <w:sz w:val="20"/>
        </w:rPr>
        <w:t xml:space="preserve">Доход от вкладов в банках и иных кредитных организациях</w:t>
      </w:r>
    </w:p>
    <w:p>
      <w:pPr>
        <w:pStyle w:val="0"/>
        <w:spacing w:before="200" w:line-rule="auto"/>
        <w:ind w:firstLine="540"/>
        <w:jc w:val="both"/>
      </w:pPr>
      <w:r>
        <w:rPr>
          <w:sz w:val="20"/>
        </w:rPr>
        <w:t xml:space="preserve">68. В данной </w:t>
      </w:r>
      <w:hyperlink w:history="0" r:id="rId11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pPr>
        <w:pStyle w:val="0"/>
        <w:spacing w:before="200" w:line-rule="auto"/>
        <w:ind w:firstLine="540"/>
        <w:jc w:val="both"/>
      </w:pPr>
      <w:r>
        <w:rPr>
          <w:sz w:val="20"/>
        </w:rPr>
        <w:t xml:space="preserve">69. Сведения о наличии соответствующих банковских счетов и вкладов указываются в </w:t>
      </w:r>
      <w:hyperlink w:history="0" r:id="rId11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4</w:t>
        </w:r>
      </w:hyperlink>
      <w:r>
        <w:rPr>
          <w:sz w:val="20"/>
        </w:rPr>
        <w:t xml:space="preserve"> справки.</w:t>
      </w:r>
    </w:p>
    <w:p>
      <w:pPr>
        <w:pStyle w:val="0"/>
        <w:spacing w:before="200" w:line-rule="auto"/>
        <w:ind w:firstLine="540"/>
        <w:jc w:val="both"/>
      </w:pPr>
      <w:r>
        <w:rPr>
          <w:sz w:val="20"/>
        </w:rPr>
        <w:t xml:space="preserve">70. Доход, полученный в иностранной валюте, указывается в рублях по курсу Банка России на дату получения дохода (с учетом положений </w:t>
      </w:r>
      <w:hyperlink w:history="0" w:anchor="P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71.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pPr>
        <w:pStyle w:val="0"/>
        <w:spacing w:before="200" w:line-rule="auto"/>
        <w:ind w:firstLine="540"/>
        <w:jc w:val="both"/>
      </w:pPr>
      <w:r>
        <w:rPr>
          <w:sz w:val="20"/>
        </w:rPr>
        <w:t xml:space="preserve">72.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w:t>
      </w:r>
      <w:hyperlink w:history="0" w:anchor="P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73.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w:t>
      </w:r>
      <w:hyperlink w:history="0" r:id="rId115"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формы</w:t>
        </w:r>
      </w:hyperlink>
      <w:r>
        <w:rPr>
          <w:sz w:val="20"/>
        </w:rPr>
        <w:t xml:space="preserve">, утвержденной Указанием Банка России N 5798-У (за исключением случая, указанного в </w:t>
      </w:r>
      <w:hyperlink w:history="0" w:anchor="P297" w:tooltip="75.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
        <w:r>
          <w:rPr>
            <w:sz w:val="20"/>
            <w:color w:val="0000ff"/>
          </w:rPr>
          <w:t xml:space="preserve">пункте 75</w:t>
        </w:r>
      </w:hyperlink>
      <w:r>
        <w:rPr>
          <w:sz w:val="20"/>
        </w:rPr>
        <w:t xml:space="preserve"> настоящих Методических рекомендаций).</w:t>
      </w:r>
    </w:p>
    <w:p>
      <w:pPr>
        <w:pStyle w:val="0"/>
        <w:spacing w:before="200" w:line-rule="auto"/>
        <w:ind w:firstLine="540"/>
        <w:jc w:val="both"/>
      </w:pPr>
      <w:r>
        <w:rPr>
          <w:sz w:val="20"/>
        </w:rPr>
        <w:t xml:space="preserve">74.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w:history="0" r:id="rId11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счет закрыт, кредитная организация может отказать в предоставлении информации, касающейся такого счета.</w:t>
      </w:r>
    </w:p>
    <w:bookmarkStart w:id="297" w:name="P297"/>
    <w:bookmarkEnd w:id="297"/>
    <w:p>
      <w:pPr>
        <w:pStyle w:val="0"/>
        <w:spacing w:before="200" w:line-rule="auto"/>
        <w:ind w:firstLine="540"/>
        <w:jc w:val="both"/>
      </w:pPr>
      <w:r>
        <w:rPr>
          <w:sz w:val="20"/>
        </w:rPr>
        <w:t xml:space="preserve">75.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w:t>
      </w:r>
      <w:hyperlink w:history="0" r:id="rId11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w:t>
      </w:r>
    </w:p>
    <w:p>
      <w:pPr>
        <w:pStyle w:val="0"/>
        <w:spacing w:before="200" w:line-rule="auto"/>
        <w:ind w:firstLine="540"/>
        <w:jc w:val="both"/>
      </w:pPr>
      <w:r>
        <w:rPr>
          <w:sz w:val="20"/>
        </w:rP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полученной в рамках </w:t>
      </w:r>
      <w:hyperlink w:history="0" r:id="rId118"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 такие сведения не отражаются в </w:t>
      </w:r>
      <w:hyperlink w:history="0" r:id="rId11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w:t>
      </w:r>
    </w:p>
    <w:p>
      <w:pPr>
        <w:pStyle w:val="0"/>
        <w:jc w:val="both"/>
      </w:pPr>
      <w:r>
        <w:rPr>
          <w:sz w:val="20"/>
        </w:rPr>
      </w:r>
    </w:p>
    <w:p>
      <w:pPr>
        <w:pStyle w:val="2"/>
        <w:outlineLvl w:val="2"/>
        <w:ind w:firstLine="540"/>
        <w:jc w:val="both"/>
      </w:pPr>
      <w:r>
        <w:rPr>
          <w:sz w:val="20"/>
        </w:rPr>
        <w:t xml:space="preserve">Доход от ценных бумаг и долей участия в коммерческих организациях</w:t>
      </w:r>
    </w:p>
    <w:p>
      <w:pPr>
        <w:pStyle w:val="0"/>
        <w:spacing w:before="200" w:line-rule="auto"/>
        <w:ind w:firstLine="540"/>
        <w:jc w:val="both"/>
      </w:pPr>
      <w:r>
        <w:rPr>
          <w:sz w:val="20"/>
        </w:rPr>
        <w:t xml:space="preserve">76. В данной </w:t>
      </w:r>
      <w:hyperlink w:history="0" r:id="rId12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pPr>
        <w:pStyle w:val="0"/>
        <w:spacing w:before="200" w:line-rule="auto"/>
        <w:ind w:firstLine="540"/>
        <w:jc w:val="both"/>
      </w:pPr>
      <w:r>
        <w:rPr>
          <w:sz w:val="20"/>
        </w:rPr>
        <w:t xml:space="preserve">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pPr>
        <w:pStyle w:val="0"/>
        <w:spacing w:before="200" w:line-rule="auto"/>
        <w:ind w:firstLine="540"/>
        <w:jc w:val="both"/>
      </w:pPr>
      <w:r>
        <w:rPr>
          <w:sz w:val="20"/>
        </w:rPr>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w:t>
      </w:r>
      <w:hyperlink w:history="0" r:id="rId121" w:tooltip="&quot;Налоговый кодекс Российской Федерации (часть первая)&quot; от 31.07.1998 N 146-ФЗ (ред. от 19.12.2023) (с изм. и доп., вступ. в силу с 01.03.2024) {КонсультантПлюс}">
        <w:r>
          <w:rPr>
            <w:sz w:val="20"/>
            <w:color w:val="0000ff"/>
          </w:rPr>
          <w:t xml:space="preserve">кодекса</w:t>
        </w:r>
      </w:hyperlink>
      <w:r>
        <w:rPr>
          <w:sz w:val="20"/>
        </w:rPr>
        <w:t xml:space="preserve"> Российской Федерации он не должен учитываться при расчете финансового результата в соответствии со </w:t>
      </w:r>
      <w:hyperlink w:history="0" r:id="rId122" w:tooltip="&quot;Налоговый кодекс Российской Федерации (часть вторая)&quot; от 05.08.2000 N 117-ФЗ (ред. от 26.02.2024) {КонсультантПлюс}">
        <w:r>
          <w:rPr>
            <w:sz w:val="20"/>
            <w:color w:val="0000ff"/>
          </w:rPr>
          <w:t xml:space="preserve">статьей 214.1</w:t>
        </w:r>
      </w:hyperlink>
      <w:r>
        <w:rPr>
          <w:sz w:val="20"/>
        </w:rPr>
        <w:t xml:space="preserve"> Налогового кодекса Российской Федерации);</w:t>
      </w:r>
    </w:p>
    <w:p>
      <w:pPr>
        <w:pStyle w:val="0"/>
        <w:spacing w:before="200" w:line-rule="auto"/>
        <w:ind w:firstLine="540"/>
        <w:jc w:val="both"/>
      </w:pPr>
      <w:r>
        <w:rPr>
          <w:sz w:val="20"/>
        </w:rPr>
        <w:t xml:space="preserve">3) дисконт, полученный в качестве дохода по облигациям;</w:t>
      </w:r>
    </w:p>
    <w:p>
      <w:pPr>
        <w:pStyle w:val="0"/>
        <w:spacing w:before="200" w:line-rule="auto"/>
        <w:ind w:firstLine="540"/>
        <w:jc w:val="both"/>
      </w:pPr>
      <w:r>
        <w:rPr>
          <w:sz w:val="20"/>
        </w:rP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w:history="0" r:id="rId123" w:tooltip="&quot;Налоговый кодекс Российской Федерации (часть вторая)&quot; от 05.08.2000 N 117-ФЗ (ред. от 26.02.2024) {КонсультантПлюс}">
        <w:r>
          <w:rPr>
            <w:sz w:val="20"/>
            <w:color w:val="0000ff"/>
          </w:rPr>
          <w:t xml:space="preserve">главой 23</w:t>
        </w:r>
      </w:hyperlink>
      <w:r>
        <w:rPr>
          <w:sz w:val="20"/>
        </w:rPr>
        <w:t xml:space="preserve"> Налогового кодекса Российской Федерации. Нулевой или отрицательный доход (нулевой или отрицательный финансовый результат) в </w:t>
      </w:r>
      <w:hyperlink w:history="0" r:id="rId12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не указывается. Сами ценные бумаги указываются в </w:t>
      </w:r>
      <w:hyperlink w:history="0" r:id="rId12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5</w:t>
        </w:r>
      </w:hyperlink>
      <w:r>
        <w:rPr>
          <w:sz w:val="20"/>
        </w:rPr>
        <w:t xml:space="preserve"> справки (в случае если по состоянию на отчетную дату служащий (работник), член его семьи обладал такими бумагами). Рекомендуется учитывать содержание графы "Налоговая база" соответствующей </w:t>
      </w:r>
      <w:hyperlink w:history="0" r:id="rId126" w:tooltip="Приказ ФНС России от 15.10.2020 N ЕД-7-11/753@ (ред. от 29.09.2022)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 ------------ Утратил силу или отменен {КонсультантПлюс}">
        <w:r>
          <w:rPr>
            <w:sz w:val="20"/>
            <w:color w:val="0000ff"/>
          </w:rPr>
          <w:t xml:space="preserve">Справки</w:t>
        </w:r>
      </w:hyperlink>
      <w:r>
        <w:rPr>
          <w:sz w:val="20"/>
        </w:rPr>
        <w:t xml:space="preserve"> о доходах и суммах налога физического лица.</w:t>
      </w:r>
    </w:p>
    <w:p>
      <w:pPr>
        <w:pStyle w:val="0"/>
        <w:spacing w:before="200" w:line-rule="auto"/>
        <w:ind w:firstLine="540"/>
        <w:jc w:val="both"/>
      </w:pPr>
      <w:r>
        <w:rPr>
          <w:sz w:val="20"/>
        </w:rPr>
        <w:t xml:space="preserve">Доход от ценных бумаг и долей участия в коммерческих организациях указывается единым значением по совокупности соответствующих операций.</w:t>
      </w:r>
    </w:p>
    <w:p>
      <w:pPr>
        <w:pStyle w:val="0"/>
        <w:jc w:val="both"/>
      </w:pPr>
      <w:r>
        <w:rPr>
          <w:sz w:val="20"/>
        </w:rPr>
      </w:r>
    </w:p>
    <w:p>
      <w:pPr>
        <w:pStyle w:val="2"/>
        <w:outlineLvl w:val="2"/>
        <w:ind w:firstLine="540"/>
        <w:jc w:val="both"/>
      </w:pPr>
      <w:r>
        <w:rPr>
          <w:sz w:val="20"/>
        </w:rPr>
        <w:t xml:space="preserve">Иные доходы</w:t>
      </w:r>
    </w:p>
    <w:p>
      <w:pPr>
        <w:pStyle w:val="0"/>
        <w:spacing w:before="200" w:line-rule="auto"/>
        <w:ind w:firstLine="540"/>
        <w:jc w:val="both"/>
      </w:pPr>
      <w:r>
        <w:rPr>
          <w:sz w:val="20"/>
        </w:rPr>
        <w:t xml:space="preserve">77. В данной </w:t>
      </w:r>
      <w:hyperlink w:history="0" r:id="rId12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указываются доходы, которые не были отражены в вышеуказанных строках справки.</w:t>
      </w:r>
    </w:p>
    <w:p>
      <w:pPr>
        <w:pStyle w:val="0"/>
        <w:spacing w:before="200" w:line-rule="auto"/>
        <w:ind w:firstLine="540"/>
        <w:jc w:val="both"/>
      </w:pPr>
      <w:r>
        <w:rPr>
          <w:sz w:val="20"/>
        </w:rPr>
        <w:t xml:space="preserve">Так, например, в </w:t>
      </w:r>
      <w:hyperlink w:history="0" r:id="rId12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"Иные доходы" могут быть указаны:</w:t>
      </w:r>
    </w:p>
    <w:p>
      <w:pPr>
        <w:pStyle w:val="0"/>
        <w:spacing w:before="200" w:line-rule="auto"/>
        <w:ind w:firstLine="540"/>
        <w:jc w:val="both"/>
      </w:pPr>
      <w:r>
        <w:rPr>
          <w:sz w:val="20"/>
        </w:rPr>
        <w:t xml:space="preserve">1) государственная и негосударственная пенсии (при этом разные виды пенсий (по возрасту и пенсия военнослужащего) не следует суммировать);</w:t>
      </w:r>
    </w:p>
    <w:p>
      <w:pPr>
        <w:pStyle w:val="0"/>
        <w:spacing w:before="200" w:line-rule="auto"/>
        <w:ind w:firstLine="540"/>
        <w:jc w:val="both"/>
      </w:pPr>
      <w:r>
        <w:rPr>
          <w:sz w:val="20"/>
        </w:rPr>
        <w:t xml:space="preserve">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w:t>
      </w:r>
    </w:p>
    <w:p>
      <w:pPr>
        <w:pStyle w:val="0"/>
        <w:spacing w:before="200" w:line-rule="auto"/>
        <w:ind w:firstLine="540"/>
        <w:jc w:val="both"/>
      </w:pPr>
      <w:r>
        <w:rPr>
          <w:sz w:val="20"/>
        </w:rP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w:t>
      </w:r>
      <w:hyperlink w:history="0" r:id="rId129" w:tooltip="Приказ ФНС России от 15.10.2020 N ЕД-7-11/753@ (ред. от 29.09.2022)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 ------------ Утратил силу или отменен {КонсультантПлюс}">
        <w:r>
          <w:rPr>
            <w:sz w:val="20"/>
            <w:color w:val="0000ff"/>
          </w:rPr>
          <w:t xml:space="preserve">Справку</w:t>
        </w:r>
      </w:hyperlink>
      <w:r>
        <w:rPr>
          <w:sz w:val="20"/>
        </w:rPr>
        <w:t xml:space="preserve"> о доходах и суммах налога физического лица, выдаваемую по месту службы (работы).</w:t>
      </w:r>
    </w:p>
    <w:p>
      <w:pPr>
        <w:pStyle w:val="0"/>
        <w:spacing w:before="200" w:line-rule="auto"/>
        <w:ind w:firstLine="540"/>
        <w:jc w:val="both"/>
      </w:pPr>
      <w:r>
        <w:rPr>
          <w:sz w:val="20"/>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w:t>
      </w:r>
      <w:hyperlink w:history="0" r:id="rId130" w:tooltip="Федеральный закон от 29.12.2006 N 255-ФЗ (ред. от 25.12.2023) &quot;Об обязательном социальном страховании на случай временной нетрудоспособности и в связи с материнством&quot; (с изм. и доп., вступ. в силу с 01.01.2024) {КонсультантПлюс}">
        <w:r>
          <w:rPr>
            <w:sz w:val="20"/>
            <w:color w:val="0000ff"/>
          </w:rPr>
          <w:t xml:space="preserve">статья 3</w:t>
        </w:r>
      </w:hyperlink>
      <w:r>
        <w:rPr>
          <w:sz w:val="20"/>
        </w:rP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pPr>
        <w:pStyle w:val="0"/>
        <w:spacing w:before="200" w:line-rule="auto"/>
        <w:ind w:firstLine="540"/>
        <w:jc w:val="both"/>
      </w:pPr>
      <w:r>
        <w:rPr>
          <w:sz w:val="20"/>
        </w:rPr>
        <w:t xml:space="preserve">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pPr>
        <w:pStyle w:val="0"/>
        <w:spacing w:before="200" w:line-rule="auto"/>
        <w:ind w:firstLine="540"/>
        <w:jc w:val="both"/>
      </w:pPr>
      <w:r>
        <w:rPr>
          <w:sz w:val="20"/>
        </w:rPr>
        <w:t xml:space="preserve">5) суммы, причитающиеся ребенку в качестве алиментов (за исключением алиментов, выплачиваемых в браке, кроме случая, предусмотренного </w:t>
      </w:r>
      <w:hyperlink w:history="0" w:anchor="P188" w:tooltip="4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quot;б&quot;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
        <w:r>
          <w:rPr>
            <w:sz w:val="20"/>
            <w:color w:val="0000ff"/>
          </w:rPr>
          <w:t xml:space="preserve">пунктом 40</w:t>
        </w:r>
      </w:hyperlink>
      <w:r>
        <w:rPr>
          <w:sz w:val="20"/>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w:t>
      </w:r>
      <w:hyperlink w:history="0" r:id="rId13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w:history="0" r:id="rId13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"Иные доходы" и в </w:t>
      </w:r>
      <w:hyperlink w:history="0" r:id="rId13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4</w:t>
        </w:r>
      </w:hyperlink>
      <w:r>
        <w:rPr>
          <w:sz w:val="20"/>
        </w:rPr>
        <w:t xml:space="preserve"> справки;</w:t>
      </w:r>
    </w:p>
    <w:p>
      <w:pPr>
        <w:pStyle w:val="0"/>
        <w:spacing w:before="200" w:line-rule="auto"/>
        <w:ind w:firstLine="540"/>
        <w:jc w:val="both"/>
      </w:pPr>
      <w:r>
        <w:rPr>
          <w:sz w:val="20"/>
        </w:rPr>
        <w:t xml:space="preserve">6) стипендия;</w:t>
      </w:r>
    </w:p>
    <w:p>
      <w:pPr>
        <w:pStyle w:val="0"/>
        <w:spacing w:before="200" w:line-rule="auto"/>
        <w:ind w:firstLine="540"/>
        <w:jc w:val="both"/>
      </w:pPr>
      <w:r>
        <w:rPr>
          <w:sz w:val="20"/>
        </w:rP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w:t>
      </w:r>
      <w:hyperlink w:history="0" r:id="rId13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1</w:t>
        </w:r>
      </w:hyperlink>
      <w:r>
        <w:rPr>
          <w:sz w:val="20"/>
        </w:rP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w:t>
      </w:r>
      <w:hyperlink w:history="0" r:id="rId13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pPr>
        <w:pStyle w:val="0"/>
        <w:spacing w:before="200" w:line-rule="auto"/>
        <w:ind w:firstLine="540"/>
        <w:jc w:val="both"/>
      </w:pPr>
      <w:r>
        <w:rPr>
          <w:sz w:val="20"/>
        </w:rPr>
        <w:t xml:space="preserve">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pPr>
        <w:pStyle w:val="0"/>
        <w:spacing w:before="200" w:line-rule="auto"/>
        <w:ind w:firstLine="540"/>
        <w:jc w:val="both"/>
      </w:pPr>
      <w:r>
        <w:rPr>
          <w:sz w:val="20"/>
        </w:rP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hyperlink w:history="0" w:anchor="P188" w:tooltip="4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quot;б&quot;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
        <w:r>
          <w:rPr>
            <w:sz w:val="20"/>
            <w:color w:val="0000ff"/>
          </w:rPr>
          <w:t xml:space="preserve">пунктом 40</w:t>
        </w:r>
      </w:hyperlink>
      <w:r>
        <w:rPr>
          <w:sz w:val="20"/>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pPr>
        <w:pStyle w:val="0"/>
        <w:spacing w:before="200" w:line-rule="auto"/>
        <w:ind w:firstLine="540"/>
        <w:jc w:val="both"/>
      </w:pPr>
      <w:r>
        <w:rPr>
          <w:sz w:val="20"/>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pPr>
        <w:pStyle w:val="0"/>
        <w:spacing w:before="200" w:line-rule="auto"/>
        <w:ind w:firstLine="540"/>
        <w:jc w:val="both"/>
      </w:pPr>
      <w:r>
        <w:rPr>
          <w:sz w:val="20"/>
        </w:rPr>
        <w:t xml:space="preserve">Отражению подлежат также денежные средства, полученные от продажи, например, ранее купленного транспортного средства в течение отчетного периода.</w:t>
      </w:r>
    </w:p>
    <w:p>
      <w:pPr>
        <w:pStyle w:val="0"/>
        <w:spacing w:before="200" w:line-rule="auto"/>
        <w:ind w:firstLine="540"/>
        <w:jc w:val="both"/>
      </w:pPr>
      <w:r>
        <w:rPr>
          <w:sz w:val="20"/>
        </w:rP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w:history="0" r:id="rId13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"Иные доходы").</w:t>
      </w:r>
    </w:p>
    <w:p>
      <w:pPr>
        <w:pStyle w:val="0"/>
        <w:spacing w:before="200" w:line-rule="auto"/>
        <w:ind w:firstLine="540"/>
        <w:jc w:val="both"/>
      </w:pPr>
      <w:r>
        <w:rPr>
          <w:sz w:val="20"/>
        </w:rPr>
        <w:t xml:space="preserve">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pPr>
        <w:pStyle w:val="0"/>
        <w:spacing w:before="200" w:line-rule="auto"/>
        <w:ind w:firstLine="540"/>
        <w:jc w:val="both"/>
      </w:pPr>
      <w:r>
        <w:rPr>
          <w:sz w:val="20"/>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pPr>
        <w:pStyle w:val="0"/>
        <w:spacing w:before="200" w:line-rule="auto"/>
        <w:ind w:firstLine="540"/>
        <w:jc w:val="both"/>
      </w:pPr>
      <w:r>
        <w:rPr>
          <w:sz w:val="20"/>
        </w:rPr>
        <w:t xml:space="preserve">Аналогично в отношении продажи имущества, находящегося в совместной собственности;</w:t>
      </w:r>
    </w:p>
    <w:p>
      <w:pPr>
        <w:pStyle w:val="0"/>
        <w:spacing w:before="200" w:line-rule="auto"/>
        <w:ind w:firstLine="540"/>
        <w:jc w:val="both"/>
      </w:pPr>
      <w:r>
        <w:rPr>
          <w:sz w:val="20"/>
        </w:rPr>
        <w:t xml:space="preserve">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pPr>
        <w:pStyle w:val="0"/>
        <w:spacing w:before="200" w:line-rule="auto"/>
        <w:ind w:firstLine="540"/>
        <w:jc w:val="both"/>
      </w:pPr>
      <w:r>
        <w:rPr>
          <w:sz w:val="20"/>
        </w:rPr>
        <w:t xml:space="preserve">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pPr>
        <w:pStyle w:val="0"/>
        <w:spacing w:before="200" w:line-rule="auto"/>
        <w:ind w:firstLine="540"/>
        <w:jc w:val="both"/>
      </w:pPr>
      <w:r>
        <w:rPr>
          <w:sz w:val="20"/>
        </w:rPr>
        <w:t xml:space="preserve">12) денежные средства, полученные в виде процентов при погашении сберегательных сертификатов, если они не указаны в </w:t>
      </w:r>
      <w:hyperlink w:history="0" r:id="rId13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"Доход от ценных бумаг и долей участия в коммерческих организациях";</w:t>
      </w:r>
    </w:p>
    <w:p>
      <w:pPr>
        <w:pStyle w:val="0"/>
        <w:spacing w:before="200" w:line-rule="auto"/>
        <w:ind w:firstLine="540"/>
        <w:jc w:val="both"/>
      </w:pPr>
      <w:r>
        <w:rPr>
          <w:sz w:val="20"/>
        </w:rPr>
        <w:t xml:space="preserve">13) вознаграждения по гражданско-правовым договорам, если данный доход не указан в иных строках настоящего </w:t>
      </w:r>
      <w:hyperlink w:history="0" r:id="rId13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w:t>
        </w:r>
      </w:hyperlink>
      <w:r>
        <w:rPr>
          <w:sz w:val="20"/>
        </w:rPr>
        <w:t xml:space="preserve">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pPr>
        <w:pStyle w:val="0"/>
        <w:spacing w:before="200" w:line-rule="auto"/>
        <w:ind w:firstLine="540"/>
        <w:jc w:val="both"/>
      </w:pPr>
      <w:r>
        <w:rPr>
          <w:sz w:val="20"/>
        </w:rP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w:history="0" r:id="rId13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"Иное недвижимое имущество" подраздела 3.1 раздела 3 справки);</w:t>
      </w:r>
    </w:p>
    <w:p>
      <w:pPr>
        <w:pStyle w:val="0"/>
        <w:spacing w:before="200" w:line-rule="auto"/>
        <w:ind w:firstLine="540"/>
        <w:jc w:val="both"/>
      </w:pPr>
      <w:r>
        <w:rPr>
          <w:sz w:val="20"/>
        </w:rPr>
        <w:t xml:space="preserve">15) проценты по долговым обязательствам;</w:t>
      </w:r>
    </w:p>
    <w:p>
      <w:pPr>
        <w:pStyle w:val="0"/>
        <w:spacing w:before="200" w:line-rule="auto"/>
        <w:ind w:firstLine="540"/>
        <w:jc w:val="both"/>
      </w:pPr>
      <w:r>
        <w:rPr>
          <w:sz w:val="20"/>
        </w:rPr>
        <w:t xml:space="preserve">16) 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pPr>
        <w:pStyle w:val="0"/>
        <w:spacing w:before="200" w:line-rule="auto"/>
        <w:ind w:firstLine="540"/>
        <w:jc w:val="both"/>
      </w:pPr>
      <w:r>
        <w:rPr>
          <w:sz w:val="20"/>
        </w:rPr>
        <w:t xml:space="preserve">17) возмещение вреда, причиненного увечьем или иным повреждением здоровья;</w:t>
      </w:r>
    </w:p>
    <w:p>
      <w:pPr>
        <w:pStyle w:val="0"/>
        <w:spacing w:before="200" w:line-rule="auto"/>
        <w:ind w:firstLine="540"/>
        <w:jc w:val="both"/>
      </w:pPr>
      <w:r>
        <w:rPr>
          <w:sz w:val="20"/>
        </w:rPr>
        <w:t xml:space="preserve">18) выплаты, связанные с гибелью (смертью), выплаченные наследникам;</w:t>
      </w:r>
    </w:p>
    <w:p>
      <w:pPr>
        <w:pStyle w:val="0"/>
        <w:spacing w:before="200" w:line-rule="auto"/>
        <w:ind w:firstLine="540"/>
        <w:jc w:val="both"/>
      </w:pPr>
      <w:r>
        <w:rPr>
          <w:sz w:val="20"/>
        </w:rP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history="0" w:anchor="P777" w:tooltip="3) обязательства в соответствии с Законом Российской Федерации от 27 ноября 1992 г. N 4015-I &quot;Об организации страхового дела в Российской Федерации&quot;,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w:r>
          <w:rPr>
            <w:sz w:val="20"/>
            <w:color w:val="0000ff"/>
          </w:rPr>
          <w:t xml:space="preserve">подпункте 3 пункта 212</w:t>
        </w:r>
      </w:hyperlink>
      <w:r>
        <w:rPr>
          <w:sz w:val="20"/>
        </w:rP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pPr>
        <w:pStyle w:val="0"/>
        <w:spacing w:before="200" w:line-rule="auto"/>
        <w:ind w:firstLine="540"/>
        <w:jc w:val="both"/>
      </w:pPr>
      <w:r>
        <w:rPr>
          <w:sz w:val="20"/>
        </w:rP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w:t>
      </w:r>
      <w:hyperlink w:history="0" r:id="rId140" w:tooltip="Приказ ФНС России от 15.10.2020 N ЕД-7-11/753@ (ред. от 29.09.2022)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 ------------ Утратил силу или отменен {КонсультантПлюс}">
        <w:r>
          <w:rPr>
            <w:sz w:val="20"/>
            <w:color w:val="0000ff"/>
          </w:rPr>
          <w:t xml:space="preserve">Справку</w:t>
        </w:r>
      </w:hyperlink>
      <w:r>
        <w:rPr>
          <w:sz w:val="20"/>
        </w:rPr>
        <w:t xml:space="preserve"> о доходах и суммах налога физического лица по месту службы (работы) и не отражены в </w:t>
      </w:r>
      <w:hyperlink w:history="0" r:id="rId14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"Доход по основному месту работы";</w:t>
      </w:r>
    </w:p>
    <w:p>
      <w:pPr>
        <w:pStyle w:val="0"/>
        <w:spacing w:before="200" w:line-rule="auto"/>
        <w:ind w:firstLine="540"/>
        <w:jc w:val="both"/>
      </w:pPr>
      <w:r>
        <w:rPr>
          <w:sz w:val="20"/>
        </w:rP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w:history="0" r:id="rId14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4</w:t>
        </w:r>
      </w:hyperlink>
      <w:r>
        <w:rPr>
          <w:sz w:val="20"/>
        </w:rPr>
        <w:t xml:space="preserve"> справки;</w:t>
      </w:r>
    </w:p>
    <w:p>
      <w:pPr>
        <w:pStyle w:val="0"/>
        <w:spacing w:before="200" w:line-rule="auto"/>
        <w:ind w:firstLine="540"/>
        <w:jc w:val="both"/>
      </w:pPr>
      <w:r>
        <w:rPr>
          <w:sz w:val="20"/>
        </w:rPr>
        <w:t xml:space="preserve">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pPr>
        <w:pStyle w:val="0"/>
        <w:spacing w:before="200" w:line-rule="auto"/>
        <w:ind w:firstLine="540"/>
        <w:jc w:val="both"/>
      </w:pPr>
      <w:r>
        <w:rPr>
          <w:sz w:val="20"/>
        </w:rPr>
        <w:t xml:space="preserve">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pPr>
        <w:pStyle w:val="0"/>
        <w:spacing w:before="200" w:line-rule="auto"/>
        <w:ind w:firstLine="540"/>
        <w:jc w:val="both"/>
      </w:pPr>
      <w:r>
        <w:rPr>
          <w:sz w:val="20"/>
        </w:rPr>
        <w:t xml:space="preserve">24) меры государственной поддержки семей, имеющих детей, в целях создания условий для погашения обязательств по ипотечным жилищным кредитам (займам);</w:t>
      </w:r>
    </w:p>
    <w:p>
      <w:pPr>
        <w:pStyle w:val="0"/>
        <w:spacing w:before="200" w:line-rule="auto"/>
        <w:ind w:firstLine="540"/>
        <w:jc w:val="both"/>
      </w:pPr>
      <w:r>
        <w:rPr>
          <w:sz w:val="20"/>
        </w:rPr>
        <w:t xml:space="preserve">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pPr>
        <w:pStyle w:val="0"/>
        <w:spacing w:before="200" w:line-rule="auto"/>
        <w:ind w:firstLine="540"/>
        <w:jc w:val="both"/>
      </w:pPr>
      <w:r>
        <w:rPr>
          <w:sz w:val="20"/>
        </w:rPr>
        <w:t xml:space="preserve">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pPr>
        <w:pStyle w:val="0"/>
        <w:spacing w:before="200" w:line-rule="auto"/>
        <w:ind w:firstLine="540"/>
        <w:jc w:val="both"/>
      </w:pPr>
      <w:r>
        <w:rPr>
          <w:sz w:val="20"/>
        </w:rPr>
        <w:t xml:space="preserve">27) выплаты членам профсоюзных организаций, полученные от данных профсоюзных организаций;</w:t>
      </w:r>
    </w:p>
    <w:p>
      <w:pPr>
        <w:pStyle w:val="0"/>
        <w:spacing w:before="200" w:line-rule="auto"/>
        <w:ind w:firstLine="540"/>
        <w:jc w:val="both"/>
      </w:pPr>
      <w:r>
        <w:rPr>
          <w:sz w:val="20"/>
        </w:rP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w:history="0" r:id="rId14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"Доход от педагогической и научной деятельности", результаты иной творческой деятельности - в </w:t>
      </w:r>
      <w:hyperlink w:history="0" r:id="rId14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"Доход от иной творческой деятельности";</w:t>
      </w:r>
    </w:p>
    <w:p>
      <w:pPr>
        <w:pStyle w:val="0"/>
        <w:spacing w:before="200" w:line-rule="auto"/>
        <w:ind w:firstLine="540"/>
        <w:jc w:val="both"/>
      </w:pPr>
      <w:r>
        <w:rPr>
          <w:sz w:val="20"/>
        </w:rPr>
        <w:t xml:space="preserve">29) вознаграждение, полученное при осуществлении опеки или попечительства на возмездной основе;</w:t>
      </w:r>
    </w:p>
    <w:p>
      <w:pPr>
        <w:pStyle w:val="0"/>
        <w:spacing w:before="200" w:line-rule="auto"/>
        <w:ind w:firstLine="540"/>
        <w:jc w:val="both"/>
      </w:pPr>
      <w:r>
        <w:rPr>
          <w:sz w:val="20"/>
        </w:rP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history="0" w:anchor="P272" w:tooltip="60. Представление Сведений в отношении лица, зарегистрированного в качестве индивидуального предпринимателя, применяющего специальные налоговые режимы:">
        <w:r>
          <w:rPr>
            <w:sz w:val="20"/>
            <w:color w:val="0000ff"/>
          </w:rPr>
          <w:t xml:space="preserve">пунктом 60</w:t>
        </w:r>
      </w:hyperlink>
      <w:r>
        <w:rPr>
          <w:sz w:val="20"/>
        </w:rPr>
        <w:t xml:space="preserve"> настоящих Методических рекомендаций);</w:t>
      </w:r>
    </w:p>
    <w:p>
      <w:pPr>
        <w:pStyle w:val="0"/>
        <w:spacing w:before="200" w:line-rule="auto"/>
        <w:ind w:firstLine="540"/>
        <w:jc w:val="both"/>
      </w:pPr>
      <w:r>
        <w:rPr>
          <w:sz w:val="20"/>
        </w:rP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hyperlink w:history="0" r:id="rId145" w:tooltip="Приказ ФНС России от 15.10.2020 N ЕД-7-11/753@ (ред. от 29.09.2022)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 ------------ Утратил силу или отменен {КонсультантПлюс}">
        <w:r>
          <w:rPr>
            <w:sz w:val="20"/>
            <w:color w:val="0000ff"/>
          </w:rPr>
          <w:t xml:space="preserve">Справку</w:t>
        </w:r>
      </w:hyperlink>
      <w:r>
        <w:rPr>
          <w:sz w:val="20"/>
        </w:rPr>
        <w:t xml:space="preserve"> о доходах и суммах налога физического лица, полученную по основному месту службы (работы);</w:t>
      </w:r>
    </w:p>
    <w:p>
      <w:pPr>
        <w:pStyle w:val="0"/>
        <w:spacing w:before="200" w:line-rule="auto"/>
        <w:ind w:firstLine="540"/>
        <w:jc w:val="both"/>
      </w:pPr>
      <w:r>
        <w:rPr>
          <w:sz w:val="20"/>
        </w:rPr>
        <w:t xml:space="preserve">32) денежные средства, полученные в качестве оплаты услуг или товаров, в том числе в качестве авансового платежа;</w:t>
      </w:r>
    </w:p>
    <w:p>
      <w:pPr>
        <w:pStyle w:val="0"/>
        <w:spacing w:before="200" w:line-rule="auto"/>
        <w:ind w:firstLine="540"/>
        <w:jc w:val="both"/>
      </w:pPr>
      <w:r>
        <w:rPr>
          <w:sz w:val="20"/>
        </w:rPr>
        <w:t xml:space="preserve">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pPr>
        <w:pStyle w:val="0"/>
        <w:spacing w:before="200" w:line-rule="auto"/>
        <w:ind w:firstLine="540"/>
        <w:jc w:val="both"/>
      </w:pPr>
      <w:r>
        <w:rPr>
          <w:sz w:val="20"/>
        </w:rP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history="0" w:anchor="P188" w:tooltip="4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quot;б&quot;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
        <w:r>
          <w:rPr>
            <w:sz w:val="20"/>
            <w:color w:val="0000ff"/>
          </w:rPr>
          <w:t xml:space="preserve">пунктом 40</w:t>
        </w:r>
      </w:hyperlink>
      <w:r>
        <w:rPr>
          <w:sz w:val="20"/>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pPr>
        <w:pStyle w:val="0"/>
        <w:spacing w:before="200" w:line-rule="auto"/>
        <w:ind w:firstLine="540"/>
        <w:jc w:val="both"/>
      </w:pPr>
      <w:r>
        <w:rPr>
          <w:sz w:val="20"/>
        </w:rPr>
        <w:t xml:space="preserve">35) доход, полученный по договорам переуступки прав требования на строящиеся объекты недвижимости;</w:t>
      </w:r>
    </w:p>
    <w:p>
      <w:pPr>
        <w:pStyle w:val="0"/>
        <w:spacing w:before="200" w:line-rule="auto"/>
        <w:ind w:firstLine="540"/>
        <w:jc w:val="both"/>
      </w:pPr>
      <w:r>
        <w:rPr>
          <w:sz w:val="20"/>
        </w:rPr>
        <w:t xml:space="preserve">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pPr>
        <w:pStyle w:val="0"/>
        <w:spacing w:before="200" w:line-rule="auto"/>
        <w:ind w:firstLine="540"/>
        <w:jc w:val="both"/>
      </w:pPr>
      <w:r>
        <w:rPr>
          <w:sz w:val="20"/>
        </w:rPr>
        <w:t xml:space="preserve">37) выплаченная ликвидационная стоимость ценных бумаг при ликвидации коммерческой организации;</w:t>
      </w:r>
    </w:p>
    <w:p>
      <w:pPr>
        <w:pStyle w:val="0"/>
        <w:spacing w:before="200" w:line-rule="auto"/>
        <w:ind w:firstLine="540"/>
        <w:jc w:val="both"/>
      </w:pPr>
      <w:r>
        <w:rPr>
          <w:sz w:val="20"/>
        </w:rPr>
        <w:t xml:space="preserve">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pPr>
        <w:pStyle w:val="0"/>
        <w:spacing w:before="200" w:line-rule="auto"/>
        <w:ind w:firstLine="540"/>
        <w:jc w:val="both"/>
      </w:pPr>
      <w:r>
        <w:rPr>
          <w:sz w:val="20"/>
        </w:rPr>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w:t>
      </w:r>
      <w:hyperlink w:history="0" r:id="rId146" w:tooltip="&quot;Налоговый кодекс Российской Федерации (часть вторая)&quot; от 05.08.2000 N 117-ФЗ (ред. от 26.02.2024) {КонсультантПлюс}">
        <w:r>
          <w:rPr>
            <w:sz w:val="20"/>
            <w:color w:val="0000ff"/>
          </w:rPr>
          <w:t xml:space="preserve">главой 23</w:t>
        </w:r>
      </w:hyperlink>
      <w:r>
        <w:rPr>
          <w:sz w:val="20"/>
        </w:rPr>
        <w:t xml:space="preserve"> Налогового кодекса Российской Федерации;</w:t>
      </w:r>
    </w:p>
    <w:p>
      <w:pPr>
        <w:pStyle w:val="0"/>
        <w:spacing w:before="200" w:line-rule="auto"/>
        <w:ind w:firstLine="540"/>
        <w:jc w:val="both"/>
      </w:pPr>
      <w:r>
        <w:rPr>
          <w:sz w:val="20"/>
        </w:rPr>
        <w:t xml:space="preserve">40) иные аналогичные выплаты.</w:t>
      </w:r>
    </w:p>
    <w:p>
      <w:pPr>
        <w:pStyle w:val="0"/>
        <w:spacing w:before="200" w:line-rule="auto"/>
        <w:ind w:firstLine="540"/>
        <w:jc w:val="both"/>
      </w:pPr>
      <w:r>
        <w:rPr>
          <w:sz w:val="20"/>
        </w:rPr>
        <w:t xml:space="preserve">78. Также в </w:t>
      </w:r>
      <w:hyperlink w:history="0" r:id="rId14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pPr>
        <w:pStyle w:val="0"/>
        <w:spacing w:before="200" w:line-rule="auto"/>
        <w:ind w:firstLine="540"/>
        <w:jc w:val="both"/>
      </w:pPr>
      <w:r>
        <w:rPr>
          <w:sz w:val="20"/>
        </w:rPr>
        <w:t xml:space="preserve">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pPr>
        <w:pStyle w:val="0"/>
        <w:spacing w:before="200" w:line-rule="auto"/>
        <w:ind w:firstLine="540"/>
        <w:jc w:val="both"/>
      </w:pPr>
      <w:r>
        <w:rPr>
          <w:sz w:val="20"/>
        </w:rPr>
        <w:t xml:space="preserve">79. Доход, полученный в иностранной валюте, указывается в рублях по курсу Банка России на дату получения дохода (с учетом положений </w:t>
      </w:r>
      <w:hyperlink w:history="0" w:anchor="P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hyperlink w:history="0" w:anchor="P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80. </w:t>
      </w:r>
      <w:hyperlink w:history="0" r:id="rId14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Формой</w:t>
        </w:r>
      </w:hyperlink>
      <w:r>
        <w:rPr>
          <w:sz w:val="20"/>
        </w:rP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pPr>
        <w:pStyle w:val="0"/>
        <w:spacing w:before="200" w:line-rule="auto"/>
        <w:ind w:firstLine="540"/>
        <w:jc w:val="both"/>
      </w:pPr>
      <w:r>
        <w:rPr>
          <w:sz w:val="20"/>
        </w:rPr>
        <w:t xml:space="preserve">81. С учетом целей антикоррупционного законодательства в </w:t>
      </w:r>
      <w:hyperlink w:history="0" r:id="rId14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pPr>
        <w:pStyle w:val="0"/>
        <w:spacing w:before="200" w:line-rule="auto"/>
        <w:ind w:firstLine="540"/>
        <w:jc w:val="both"/>
      </w:pPr>
      <w:r>
        <w:rPr>
          <w:sz w:val="20"/>
        </w:rPr>
        <w:t xml:space="preserve">1) со служебными командировками за счет средств работодателя;</w:t>
      </w:r>
    </w:p>
    <w:p>
      <w:pPr>
        <w:pStyle w:val="0"/>
        <w:spacing w:before="200" w:line-rule="auto"/>
        <w:ind w:firstLine="540"/>
        <w:jc w:val="both"/>
      </w:pPr>
      <w:r>
        <w:rPr>
          <w:sz w:val="20"/>
        </w:rPr>
        <w:t xml:space="preserve">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pPr>
        <w:pStyle w:val="0"/>
        <w:spacing w:before="200" w:line-rule="auto"/>
        <w:ind w:firstLine="540"/>
        <w:jc w:val="both"/>
      </w:pPr>
      <w:r>
        <w:rPr>
          <w:sz w:val="20"/>
        </w:rPr>
        <w:t xml:space="preserve">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pPr>
        <w:pStyle w:val="0"/>
        <w:spacing w:before="200" w:line-rule="auto"/>
        <w:ind w:firstLine="540"/>
        <w:jc w:val="both"/>
      </w:pPr>
      <w:r>
        <w:rPr>
          <w:sz w:val="20"/>
        </w:rPr>
        <w:t xml:space="preserve">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pPr>
        <w:pStyle w:val="0"/>
        <w:spacing w:before="200" w:line-rule="auto"/>
        <w:ind w:firstLine="540"/>
        <w:jc w:val="both"/>
      </w:pPr>
      <w:r>
        <w:rPr>
          <w:sz w:val="20"/>
        </w:rPr>
        <w:t xml:space="preserve">5) с приобретением проездных документов для исполнения служебных (должностных) обязанностей;</w:t>
      </w:r>
    </w:p>
    <w:p>
      <w:pPr>
        <w:pStyle w:val="0"/>
        <w:spacing w:before="200" w:line-rule="auto"/>
        <w:ind w:firstLine="540"/>
        <w:jc w:val="both"/>
      </w:pPr>
      <w:r>
        <w:rPr>
          <w:sz w:val="20"/>
        </w:rPr>
        <w:t xml:space="preserve">6) с оплатой коммунальных и иных услуг, наймом жилого помещения;</w:t>
      </w:r>
    </w:p>
    <w:p>
      <w:pPr>
        <w:pStyle w:val="0"/>
        <w:spacing w:before="200" w:line-rule="auto"/>
        <w:ind w:firstLine="540"/>
        <w:jc w:val="both"/>
      </w:pPr>
      <w:r>
        <w:rPr>
          <w:sz w:val="20"/>
        </w:rPr>
        <w:t xml:space="preserve">7) с внесением родительской платы за посещение дошкольного образовательного учреждения;</w:t>
      </w:r>
    </w:p>
    <w:p>
      <w:pPr>
        <w:pStyle w:val="0"/>
        <w:spacing w:before="200" w:line-rule="auto"/>
        <w:ind w:firstLine="540"/>
        <w:jc w:val="both"/>
      </w:pPr>
      <w:r>
        <w:rPr>
          <w:sz w:val="20"/>
        </w:rPr>
        <w:t xml:space="preserve">8) с оформлением нотариальной доверенности, почтовыми расходами, расходами на оплату услуг представителя (возмещаются по решению суда).</w:t>
      </w:r>
    </w:p>
    <w:p>
      <w:pPr>
        <w:pStyle w:val="0"/>
        <w:spacing w:before="200" w:line-rule="auto"/>
        <w:ind w:firstLine="540"/>
        <w:jc w:val="both"/>
      </w:pPr>
      <w:r>
        <w:rPr>
          <w:sz w:val="20"/>
        </w:rPr>
        <w:t xml:space="preserve">82. 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pPr>
        <w:pStyle w:val="0"/>
        <w:spacing w:before="200" w:line-rule="auto"/>
        <w:ind w:firstLine="540"/>
        <w:jc w:val="both"/>
      </w:pPr>
      <w:r>
        <w:rPr>
          <w:sz w:val="20"/>
        </w:rPr>
        <w:t xml:space="preserve">83. Также не указываются сведения о денежных средствах, полученных:</w:t>
      </w:r>
    </w:p>
    <w:p>
      <w:pPr>
        <w:pStyle w:val="0"/>
        <w:spacing w:before="200" w:line-rule="auto"/>
        <w:ind w:firstLine="540"/>
        <w:jc w:val="both"/>
      </w:pPr>
      <w:r>
        <w:rPr>
          <w:sz w:val="20"/>
        </w:rPr>
        <w:t xml:space="preserve">1) в виде социального, имущественного, инвестиционного налогового вычета;</w:t>
      </w:r>
    </w:p>
    <w:p>
      <w:pPr>
        <w:pStyle w:val="0"/>
        <w:spacing w:before="200" w:line-rule="auto"/>
        <w:ind w:firstLine="540"/>
        <w:jc w:val="both"/>
      </w:pPr>
      <w:r>
        <w:rPr>
          <w:sz w:val="20"/>
        </w:rPr>
        <w:t xml:space="preserve">2) от продажи различного вида подарочных сертификатов (карт), выпущенных предприятиями торговли, салонами красоты и пр.;</w:t>
      </w:r>
    </w:p>
    <w:p>
      <w:pPr>
        <w:pStyle w:val="0"/>
        <w:spacing w:before="200" w:line-rule="auto"/>
        <w:ind w:firstLine="540"/>
        <w:jc w:val="both"/>
      </w:pPr>
      <w:r>
        <w:rPr>
          <w:sz w:val="20"/>
        </w:rPr>
        <w:t xml:space="preserve">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w:t>
      </w:r>
    </w:p>
    <w:p>
      <w:pPr>
        <w:pStyle w:val="0"/>
        <w:spacing w:before="200" w:line-rule="auto"/>
        <w:ind w:firstLine="540"/>
        <w:jc w:val="both"/>
      </w:pPr>
      <w:r>
        <w:rPr>
          <w:sz w:val="20"/>
        </w:rPr>
        <w:t xml:space="preserve">4) в виде материальной выгоды, предусмотренной </w:t>
      </w:r>
      <w:hyperlink w:history="0" r:id="rId150" w:tooltip="&quot;Налоговый кодекс Российской Федерации (часть вторая)&quot; от 05.08.2000 N 117-ФЗ (ред. от 26.02.2024) {КонсультантПлюс}">
        <w:r>
          <w:rPr>
            <w:sz w:val="20"/>
            <w:color w:val="0000ff"/>
          </w:rPr>
          <w:t xml:space="preserve">статьей 212</w:t>
        </w:r>
      </w:hyperlink>
      <w:r>
        <w:rPr>
          <w:sz w:val="20"/>
        </w:rP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pPr>
        <w:pStyle w:val="0"/>
        <w:spacing w:before="200" w:line-rule="auto"/>
        <w:ind w:firstLine="540"/>
        <w:jc w:val="both"/>
      </w:pPr>
      <w:r>
        <w:rPr>
          <w:sz w:val="20"/>
        </w:rPr>
        <w:t xml:space="preserve">5) в качестве возврата налога на добавленную стоимость, уплаченного при совершении покупок за границей, по чекам Tax-free;</w:t>
      </w:r>
    </w:p>
    <w:p>
      <w:pPr>
        <w:pStyle w:val="0"/>
        <w:spacing w:before="200" w:line-rule="auto"/>
        <w:ind w:firstLine="540"/>
        <w:jc w:val="both"/>
      </w:pPr>
      <w:r>
        <w:rPr>
          <w:sz w:val="20"/>
        </w:rPr>
        <w:t xml:space="preserve">6) в качестве вознаграждения донорам за сданную кровь, ее компонентов (и иную помощь);</w:t>
      </w:r>
    </w:p>
    <w:p>
      <w:pPr>
        <w:pStyle w:val="0"/>
        <w:spacing w:before="200" w:line-rule="auto"/>
        <w:ind w:firstLine="540"/>
        <w:jc w:val="both"/>
      </w:pPr>
      <w:r>
        <w:rPr>
          <w:sz w:val="20"/>
        </w:rP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w:history="0" r:id="rId15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w:t>
      </w:r>
    </w:p>
    <w:p>
      <w:pPr>
        <w:pStyle w:val="0"/>
        <w:spacing w:before="200" w:line-rule="auto"/>
        <w:ind w:firstLine="540"/>
        <w:jc w:val="both"/>
      </w:pPr>
      <w:r>
        <w:rPr>
          <w:sz w:val="20"/>
        </w:rPr>
        <w:t xml:space="preserve">8) в качестве возмещения расходов на повышение профессионального уровня за счет средств представителя нанимателя (работодателя);</w:t>
      </w:r>
    </w:p>
    <w:p>
      <w:pPr>
        <w:pStyle w:val="0"/>
        <w:spacing w:before="200" w:line-rule="auto"/>
        <w:ind w:firstLine="540"/>
        <w:jc w:val="both"/>
      </w:pPr>
      <w:r>
        <w:rPr>
          <w:sz w:val="20"/>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pPr>
        <w:pStyle w:val="0"/>
        <w:spacing w:before="200" w:line-rule="auto"/>
        <w:ind w:firstLine="540"/>
        <w:jc w:val="both"/>
      </w:pPr>
      <w:r>
        <w:rPr>
          <w:sz w:val="20"/>
        </w:rP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w:history="0" w:anchor="P188" w:tooltip="4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quot;б&quot;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
        <w:r>
          <w:rPr>
            <w:sz w:val="20"/>
            <w:color w:val="0000ff"/>
          </w:rPr>
          <w:t xml:space="preserve">пунктом 40</w:t>
        </w:r>
      </w:hyperlink>
      <w:r>
        <w:rPr>
          <w:sz w:val="20"/>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pPr>
        <w:pStyle w:val="0"/>
        <w:spacing w:before="200" w:line-rule="auto"/>
        <w:ind w:firstLine="540"/>
        <w:jc w:val="both"/>
      </w:pPr>
      <w:r>
        <w:rPr>
          <w:sz w:val="20"/>
        </w:rPr>
        <w:t xml:space="preserve">11) в связи с возвратом денежных средств по несостоявшемуся договору купли-продажи;</w:t>
      </w:r>
    </w:p>
    <w:p>
      <w:pPr>
        <w:pStyle w:val="0"/>
        <w:spacing w:before="200" w:line-rule="auto"/>
        <w:ind w:firstLine="540"/>
        <w:jc w:val="both"/>
      </w:pPr>
      <w:r>
        <w:rPr>
          <w:sz w:val="20"/>
        </w:rPr>
        <w:t xml:space="preserve">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pPr>
        <w:pStyle w:val="0"/>
        <w:spacing w:before="200" w:line-rule="auto"/>
        <w:ind w:firstLine="540"/>
        <w:jc w:val="both"/>
      </w:pPr>
      <w:r>
        <w:rPr>
          <w:sz w:val="20"/>
        </w:rPr>
        <w:t xml:space="preserve">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pPr>
        <w:pStyle w:val="0"/>
        <w:spacing w:before="200" w:line-rule="auto"/>
        <w:ind w:firstLine="540"/>
        <w:jc w:val="both"/>
      </w:pPr>
      <w:r>
        <w:rPr>
          <w:sz w:val="20"/>
        </w:rPr>
        <w:t xml:space="preserve">14) на специальный избирательный счет в соответствии с Федеральным </w:t>
      </w:r>
      <w:hyperlink w:history="0" r:id="rId152" w:tooltip="Федеральный закон от 12.06.2002 N 67-ФЗ (ред. от 25.12.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84.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w:history="0" r:id="rId15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1</w:t>
        </w:r>
      </w:hyperlink>
      <w:r>
        <w:rPr>
          <w:sz w:val="20"/>
        </w:rPr>
        <w:t xml:space="preserve"> справки.</w:t>
      </w:r>
    </w:p>
    <w:p>
      <w:pPr>
        <w:pStyle w:val="0"/>
        <w:spacing w:before="200" w:line-rule="auto"/>
        <w:ind w:firstLine="540"/>
        <w:jc w:val="both"/>
      </w:pPr>
      <w:r>
        <w:rPr>
          <w:sz w:val="20"/>
        </w:rP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w:history="0" r:id="rId15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1</w:t>
        </w:r>
      </w:hyperlink>
      <w:r>
        <w:rPr>
          <w:sz w:val="20"/>
        </w:rPr>
        <w:t xml:space="preserve"> справки.</w:t>
      </w:r>
    </w:p>
    <w:p>
      <w:pPr>
        <w:pStyle w:val="0"/>
        <w:spacing w:before="200" w:line-rule="auto"/>
        <w:ind w:firstLine="540"/>
        <w:jc w:val="both"/>
      </w:pPr>
      <w:r>
        <w:rPr>
          <w:sz w:val="20"/>
        </w:rPr>
        <w:t xml:space="preserve">85.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pPr>
        <w:pStyle w:val="0"/>
        <w:jc w:val="both"/>
      </w:pPr>
      <w:r>
        <w:rPr>
          <w:sz w:val="20"/>
        </w:rPr>
      </w:r>
    </w:p>
    <w:p>
      <w:pPr>
        <w:pStyle w:val="2"/>
        <w:outlineLvl w:val="1"/>
        <w:jc w:val="center"/>
      </w:pPr>
      <w:hyperlink w:history="0" r:id="rId15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 2</w:t>
        </w:r>
      </w:hyperlink>
      <w:r>
        <w:rPr>
          <w:sz w:val="20"/>
        </w:rPr>
        <w:t xml:space="preserve">. СВЕДЕНИЯ О РАСХОДАХ</w:t>
      </w:r>
    </w:p>
    <w:p>
      <w:pPr>
        <w:pStyle w:val="0"/>
        <w:jc w:val="both"/>
      </w:pPr>
      <w:r>
        <w:rPr>
          <w:sz w:val="20"/>
        </w:rPr>
      </w:r>
    </w:p>
    <w:bookmarkStart w:id="393" w:name="P393"/>
    <w:bookmarkEnd w:id="393"/>
    <w:p>
      <w:pPr>
        <w:pStyle w:val="0"/>
        <w:ind w:firstLine="540"/>
        <w:jc w:val="both"/>
      </w:pPr>
      <w:r>
        <w:rPr>
          <w:sz w:val="20"/>
        </w:rPr>
        <w:t xml:space="preserve">86. Данный </w:t>
      </w:r>
      <w:hyperlink w:history="0" r:id="rId15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w:t>
        </w:r>
      </w:hyperlink>
      <w:r>
        <w:rPr>
          <w:sz w:val="20"/>
        </w:rP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2024 году сообщаются сведения о расходах по сделкам, совершенным в 2023 году.</w:t>
      </w:r>
    </w:p>
    <w:p>
      <w:pPr>
        <w:pStyle w:val="0"/>
        <w:spacing w:before="200" w:line-rule="auto"/>
        <w:ind w:firstLine="540"/>
        <w:jc w:val="both"/>
      </w:pPr>
      <w:r>
        <w:rPr>
          <w:sz w:val="20"/>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w:history="0" r:id="rId15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w:t>
        </w:r>
      </w:hyperlink>
      <w:r>
        <w:rPr>
          <w:sz w:val="20"/>
        </w:rPr>
        <w:t xml:space="preserve"> заполняется в справках обоих лиц (аналогично в отношении несовершеннолетних детей). При этом в </w:t>
      </w:r>
      <w:hyperlink w:history="0" r:id="rId15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"Сумма сделки" применимых справок рекомендуется указывать полную стоимость.</w:t>
      </w:r>
    </w:p>
    <w:p>
      <w:pPr>
        <w:pStyle w:val="0"/>
        <w:spacing w:before="200" w:line-rule="auto"/>
        <w:ind w:firstLine="540"/>
        <w:jc w:val="both"/>
      </w:pPr>
      <w:r>
        <w:rPr>
          <w:sz w:val="20"/>
        </w:rPr>
        <w:t xml:space="preserve">87. Данный </w:t>
      </w:r>
      <w:hyperlink w:history="0" r:id="rId15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w:t>
        </w:r>
      </w:hyperlink>
      <w:r>
        <w:rPr>
          <w:sz w:val="20"/>
        </w:rPr>
        <w:t xml:space="preserve"> справки также подлежит заполнению при наличии обстоятельств, перечисленных в </w:t>
      </w:r>
      <w:hyperlink w:history="0" w:anchor="P393" w:tooltip="86. 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
        <w:r>
          <w:rPr>
            <w:sz w:val="20"/>
            <w:color w:val="0000ff"/>
          </w:rPr>
          <w:t xml:space="preserve">пункте 86</w:t>
        </w:r>
      </w:hyperlink>
      <w:r>
        <w:rPr>
          <w:sz w:val="20"/>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pPr>
        <w:pStyle w:val="0"/>
        <w:spacing w:before="200" w:line-rule="auto"/>
        <w:ind w:firstLine="540"/>
        <w:jc w:val="both"/>
      </w:pPr>
      <w:r>
        <w:rPr>
          <w:sz w:val="20"/>
        </w:rPr>
        <w:t xml:space="preserve">88. Граждане, поступающие на службу (работу), </w:t>
      </w:r>
      <w:hyperlink w:history="0" r:id="rId16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 2</w:t>
        </w:r>
      </w:hyperlink>
      <w:r>
        <w:rPr>
          <w:sz w:val="20"/>
        </w:rPr>
        <w:t xml:space="preserve"> справки не заполняют.</w:t>
      </w:r>
    </w:p>
    <w:p>
      <w:pPr>
        <w:pStyle w:val="0"/>
        <w:spacing w:before="200" w:line-rule="auto"/>
        <w:ind w:firstLine="540"/>
        <w:jc w:val="both"/>
      </w:pPr>
      <w:r>
        <w:rPr>
          <w:sz w:val="20"/>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w:history="0" r:id="rId16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2</w:t>
        </w:r>
      </w:hyperlink>
      <w:r>
        <w:rPr>
          <w:sz w:val="20"/>
        </w:rPr>
        <w:t xml:space="preserve"> справки.</w:t>
      </w:r>
    </w:p>
    <w:p>
      <w:pPr>
        <w:pStyle w:val="0"/>
        <w:spacing w:before="200" w:line-rule="auto"/>
        <w:ind w:firstLine="540"/>
        <w:jc w:val="both"/>
      </w:pPr>
      <w:r>
        <w:rPr>
          <w:sz w:val="20"/>
        </w:rPr>
        <w:t xml:space="preserve">89. Заполнение данного </w:t>
      </w:r>
      <w:hyperlink w:history="0" r:id="rId16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w:t>
        </w:r>
      </w:hyperlink>
      <w:r>
        <w:rPr>
          <w:sz w:val="20"/>
        </w:rPr>
        <w:t xml:space="preserve"> при отсутствии указанных в </w:t>
      </w:r>
      <w:hyperlink w:history="0" w:anchor="P393" w:tooltip="86. 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
        <w:r>
          <w:rPr>
            <w:sz w:val="20"/>
            <w:color w:val="0000ff"/>
          </w:rPr>
          <w:t xml:space="preserve">пункте 86</w:t>
        </w:r>
      </w:hyperlink>
      <w:r>
        <w:rPr>
          <w:sz w:val="20"/>
        </w:rPr>
        <w:t xml:space="preserve"> настоящих Методических рекомендаций оснований не является нарушением.</w:t>
      </w:r>
    </w:p>
    <w:p>
      <w:pPr>
        <w:pStyle w:val="0"/>
        <w:spacing w:before="200" w:line-rule="auto"/>
        <w:ind w:firstLine="540"/>
        <w:jc w:val="both"/>
      </w:pPr>
      <w:r>
        <w:rPr>
          <w:sz w:val="20"/>
        </w:rPr>
        <w:t xml:space="preserve">90.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2023 году, суммируются доходы служащего (работника) и его супруги (супруга), полученные в 2020, 2021 и 2022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pPr>
        <w:pStyle w:val="0"/>
        <w:spacing w:before="200" w:line-rule="auto"/>
        <w:ind w:firstLine="540"/>
        <w:jc w:val="both"/>
      </w:pPr>
      <w:r>
        <w:rPr>
          <w:sz w:val="20"/>
        </w:rPr>
        <w:t xml:space="preserve">91. Для цели реализации </w:t>
      </w:r>
      <w:hyperlink w:history="0" w:anchor="P393" w:tooltip="86. 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
        <w:r>
          <w:rPr>
            <w:sz w:val="20"/>
            <w:color w:val="0000ff"/>
          </w:rPr>
          <w:t xml:space="preserve">пункта 86</w:t>
        </w:r>
      </w:hyperlink>
      <w:r>
        <w:rPr>
          <w:sz w:val="20"/>
        </w:rP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pPr>
        <w:pStyle w:val="0"/>
        <w:spacing w:before="200" w:line-rule="auto"/>
        <w:ind w:firstLine="540"/>
        <w:jc w:val="both"/>
      </w:pPr>
      <w:r>
        <w:rPr>
          <w:sz w:val="20"/>
        </w:rP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w:history="0" r:id="rId16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2</w:t>
        </w:r>
      </w:hyperlink>
      <w:r>
        <w:rPr>
          <w:sz w:val="20"/>
        </w:rPr>
        <w:t xml:space="preserve"> справки.</w:t>
      </w:r>
    </w:p>
    <w:p>
      <w:pPr>
        <w:pStyle w:val="0"/>
        <w:spacing w:before="200" w:line-rule="auto"/>
        <w:ind w:firstLine="540"/>
        <w:jc w:val="both"/>
      </w:pPr>
      <w:r>
        <w:rPr>
          <w:sz w:val="20"/>
        </w:rPr>
        <w:t xml:space="preserve">92.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w:history="0" r:id="rId16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справки.</w:t>
      </w:r>
    </w:p>
    <w:p>
      <w:pPr>
        <w:pStyle w:val="0"/>
        <w:spacing w:before="200" w:line-rule="auto"/>
        <w:ind w:firstLine="540"/>
        <w:jc w:val="both"/>
      </w:pPr>
      <w:r>
        <w:rPr>
          <w:sz w:val="20"/>
        </w:rPr>
        <w:t xml:space="preserve">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pPr>
        <w:pStyle w:val="0"/>
        <w:spacing w:before="200" w:line-rule="auto"/>
        <w:ind w:firstLine="540"/>
        <w:jc w:val="both"/>
      </w:pPr>
      <w:r>
        <w:rPr>
          <w:sz w:val="20"/>
        </w:rPr>
        <w:t xml:space="preserve">93.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pPr>
        <w:pStyle w:val="0"/>
        <w:spacing w:before="200" w:line-rule="auto"/>
        <w:ind w:firstLine="540"/>
        <w:jc w:val="both"/>
      </w:pPr>
      <w:r>
        <w:rPr>
          <w:sz w:val="20"/>
        </w:rPr>
        <w:t xml:space="preserve">94. Данный </w:t>
      </w:r>
      <w:hyperlink w:history="0" r:id="rId16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w:t>
        </w:r>
      </w:hyperlink>
      <w:r>
        <w:rPr>
          <w:sz w:val="20"/>
        </w:rPr>
        <w:t xml:space="preserve"> не заполняется в следующих случаях:</w:t>
      </w:r>
    </w:p>
    <w:p>
      <w:pPr>
        <w:pStyle w:val="0"/>
        <w:spacing w:before="200" w:line-rule="auto"/>
        <w:ind w:firstLine="540"/>
        <w:jc w:val="both"/>
      </w:pPr>
      <w:r>
        <w:rPr>
          <w:sz w:val="20"/>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w:history="0" r:id="rId16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 N 230-ФЗ "О контроле за соответствием расходов лиц, замещающих государственные должности, и иных лиц их доходам");</w:t>
      </w:r>
    </w:p>
    <w:p>
      <w:pPr>
        <w:pStyle w:val="0"/>
        <w:spacing w:before="200" w:line-rule="auto"/>
        <w:ind w:firstLine="540"/>
        <w:jc w:val="both"/>
      </w:pPr>
      <w:r>
        <w:rPr>
          <w:sz w:val="20"/>
        </w:rPr>
        <w:t xml:space="preserve">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pPr>
        <w:pStyle w:val="0"/>
        <w:spacing w:before="200" w:line-rule="auto"/>
        <w:ind w:firstLine="540"/>
        <w:jc w:val="both"/>
      </w:pPr>
      <w:r>
        <w:rPr>
          <w:sz w:val="20"/>
        </w:rPr>
        <w:t xml:space="preserve">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pPr>
        <w:pStyle w:val="0"/>
        <w:spacing w:before="200" w:line-rule="auto"/>
        <w:ind w:firstLine="540"/>
        <w:jc w:val="both"/>
      </w:pPr>
      <w:r>
        <w:rPr>
          <w:sz w:val="20"/>
        </w:rPr>
        <w:t xml:space="preserve">95. При заполнении </w:t>
      </w:r>
      <w:hyperlink w:history="0" r:id="rId16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pPr>
        <w:pStyle w:val="0"/>
        <w:spacing w:before="200" w:line-rule="auto"/>
        <w:ind w:firstLine="540"/>
        <w:jc w:val="both"/>
      </w:pPr>
      <w:r>
        <w:rPr>
          <w:sz w:val="20"/>
        </w:rPr>
        <w:t xml:space="preserve">96. В </w:t>
      </w:r>
      <w:hyperlink w:history="0" r:id="rId16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"Сумма сделки (руб.)"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pPr>
        <w:pStyle w:val="0"/>
        <w:spacing w:before="200" w:line-rule="auto"/>
        <w:ind w:firstLine="540"/>
        <w:jc w:val="both"/>
      </w:pPr>
      <w:r>
        <w:rPr>
          <w:sz w:val="20"/>
        </w:rPr>
        <w:t xml:space="preserve">97. При заполнении </w:t>
      </w:r>
      <w:hyperlink w:history="0" r:id="rId16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pPr>
        <w:pStyle w:val="0"/>
        <w:spacing w:before="200" w:line-rule="auto"/>
        <w:ind w:firstLine="540"/>
        <w:jc w:val="both"/>
      </w:pPr>
      <w:r>
        <w:rPr>
          <w:sz w:val="20"/>
        </w:rPr>
        <w:t xml:space="preserve">98.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pPr>
        <w:pStyle w:val="0"/>
        <w:spacing w:before="200" w:line-rule="auto"/>
        <w:ind w:firstLine="540"/>
        <w:jc w:val="both"/>
      </w:pPr>
      <w:r>
        <w:rPr>
          <w:sz w:val="20"/>
        </w:rPr>
        <w:t xml:space="preserve">99.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pPr>
        <w:pStyle w:val="0"/>
        <w:spacing w:before="200" w:line-rule="auto"/>
        <w:ind w:firstLine="540"/>
        <w:jc w:val="both"/>
      </w:pPr>
      <w:r>
        <w:rPr>
          <w:sz w:val="20"/>
        </w:rPr>
        <w:t xml:space="preserve">100. В </w:t>
      </w:r>
      <w:hyperlink w:history="0" r:id="rId17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w:history="0" r:id="rId17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w:t>
      </w:r>
    </w:p>
    <w:p>
      <w:pPr>
        <w:pStyle w:val="0"/>
        <w:spacing w:before="200" w:line-rule="auto"/>
        <w:ind w:firstLine="540"/>
        <w:jc w:val="both"/>
      </w:pPr>
      <w:r>
        <w:rPr>
          <w:sz w:val="20"/>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pPr>
        <w:pStyle w:val="0"/>
        <w:spacing w:before="200" w:line-rule="auto"/>
        <w:ind w:firstLine="540"/>
        <w:jc w:val="both"/>
      </w:pPr>
      <w:r>
        <w:rPr>
          <w:sz w:val="20"/>
        </w:rP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pPr>
        <w:pStyle w:val="0"/>
        <w:spacing w:before="200" w:line-rule="auto"/>
        <w:ind w:firstLine="540"/>
        <w:jc w:val="both"/>
      </w:pPr>
      <w:r>
        <w:rPr>
          <w:sz w:val="20"/>
        </w:rPr>
        <w:t xml:space="preserve">В отношении сделок по приобретению цифровых финансовых активов и цифровой валюты к </w:t>
      </w:r>
      <w:hyperlink w:history="0" r:id="rId17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прилагаются документы (при их наличии), подтверждающие сумму сделки и (или) содержащие информацию о второй стороне сделки.</w:t>
      </w:r>
    </w:p>
    <w:p>
      <w:pPr>
        <w:pStyle w:val="0"/>
        <w:spacing w:before="200" w:line-rule="auto"/>
        <w:ind w:firstLine="540"/>
        <w:jc w:val="both"/>
      </w:pPr>
      <w:r>
        <w:rPr>
          <w:sz w:val="20"/>
        </w:rPr>
        <w:t xml:space="preserve">101. Особенности заполнения </w:t>
      </w:r>
      <w:hyperlink w:history="0" r:id="rId17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w:t>
        </w:r>
      </w:hyperlink>
      <w:r>
        <w:rPr>
          <w:sz w:val="20"/>
        </w:rPr>
        <w:t xml:space="preserve"> "Сведения о расходах":</w:t>
      </w:r>
    </w:p>
    <w:p>
      <w:pPr>
        <w:pStyle w:val="0"/>
        <w:spacing w:before="200" w:line-rule="auto"/>
        <w:ind w:firstLine="540"/>
        <w:jc w:val="both"/>
      </w:pPr>
      <w:r>
        <w:rPr>
          <w:sz w:val="20"/>
        </w:rPr>
        <w:t xml:space="preserve">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pPr>
        <w:pStyle w:val="0"/>
        <w:spacing w:before="200" w:line-rule="auto"/>
        <w:ind w:firstLine="540"/>
        <w:jc w:val="both"/>
      </w:pPr>
      <w:r>
        <w:rPr>
          <w:sz w:val="20"/>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w:t>
      </w:r>
      <w:hyperlink w:history="0" r:id="rId17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pPr>
        <w:pStyle w:val="0"/>
        <w:spacing w:before="200" w:line-rule="auto"/>
        <w:ind w:firstLine="540"/>
        <w:jc w:val="both"/>
      </w:pPr>
      <w:r>
        <w:rPr>
          <w:sz w:val="20"/>
        </w:rPr>
        <w:t xml:space="preserve">При заключении в отчетном периоде нескольких договоров участия в долевом строительстве учитывается общая сумма, уплаченная по всем договорам.</w:t>
      </w:r>
    </w:p>
    <w:p>
      <w:pPr>
        <w:pStyle w:val="0"/>
        <w:spacing w:before="200" w:line-rule="auto"/>
        <w:ind w:firstLine="540"/>
        <w:jc w:val="both"/>
      </w:pPr>
      <w:r>
        <w:rPr>
          <w:sz w:val="20"/>
        </w:rP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w:history="0" r:id="rId17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pPr>
        <w:pStyle w:val="0"/>
        <w:spacing w:before="200" w:line-rule="auto"/>
        <w:ind w:firstLine="540"/>
        <w:jc w:val="both"/>
      </w:pPr>
      <w:r>
        <w:rPr>
          <w:sz w:val="20"/>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w:history="0" r:id="rId17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w:history="0" r:id="rId17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3.1 раздела 3</w:t>
        </w:r>
      </w:hyperlink>
      <w:r>
        <w:rPr>
          <w:sz w:val="20"/>
        </w:rPr>
        <w:t xml:space="preserve"> справки;</w:t>
      </w:r>
    </w:p>
    <w:p>
      <w:pPr>
        <w:pStyle w:val="0"/>
        <w:spacing w:before="200" w:line-rule="auto"/>
        <w:ind w:firstLine="540"/>
        <w:jc w:val="both"/>
      </w:pPr>
      <w:r>
        <w:rPr>
          <w:sz w:val="20"/>
        </w:rPr>
        <w:t xml:space="preserve">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pPr>
        <w:pStyle w:val="0"/>
        <w:spacing w:before="200" w:line-rule="auto"/>
        <w:ind w:firstLine="540"/>
        <w:jc w:val="both"/>
      </w:pPr>
      <w:r>
        <w:rPr>
          <w:sz w:val="20"/>
        </w:rPr>
        <w:t xml:space="preserve">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pPr>
        <w:pStyle w:val="0"/>
        <w:spacing w:before="200" w:line-rule="auto"/>
        <w:ind w:firstLine="540"/>
        <w:jc w:val="both"/>
      </w:pPr>
      <w:r>
        <w:rPr>
          <w:sz w:val="20"/>
        </w:rPr>
        <w:t xml:space="preserve">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pPr>
        <w:pStyle w:val="0"/>
        <w:jc w:val="both"/>
      </w:pPr>
      <w:r>
        <w:rPr>
          <w:sz w:val="20"/>
        </w:rPr>
      </w:r>
    </w:p>
    <w:p>
      <w:pPr>
        <w:pStyle w:val="2"/>
        <w:outlineLvl w:val="1"/>
        <w:jc w:val="center"/>
      </w:pPr>
      <w:hyperlink w:history="0" r:id="rId17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 3</w:t>
        </w:r>
      </w:hyperlink>
      <w:r>
        <w:rPr>
          <w:sz w:val="20"/>
        </w:rPr>
        <w:t xml:space="preserve">. СВЕДЕНИЯ ОБ ИМУЩЕСТВЕ</w:t>
      </w:r>
    </w:p>
    <w:p>
      <w:pPr>
        <w:pStyle w:val="0"/>
        <w:jc w:val="both"/>
      </w:pPr>
      <w:r>
        <w:rPr>
          <w:sz w:val="20"/>
        </w:rPr>
      </w:r>
    </w:p>
    <w:p>
      <w:pPr>
        <w:pStyle w:val="2"/>
        <w:outlineLvl w:val="2"/>
        <w:ind w:firstLine="540"/>
        <w:jc w:val="both"/>
      </w:pPr>
      <w:hyperlink w:history="0" r:id="rId17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 3.1</w:t>
        </w:r>
      </w:hyperlink>
      <w:r>
        <w:rPr>
          <w:sz w:val="20"/>
        </w:rPr>
        <w:t xml:space="preserve"> Недвижимое имущество</w:t>
      </w:r>
    </w:p>
    <w:p>
      <w:pPr>
        <w:pStyle w:val="0"/>
        <w:spacing w:before="200" w:line-rule="auto"/>
        <w:ind w:firstLine="540"/>
        <w:jc w:val="both"/>
      </w:pPr>
      <w:r>
        <w:rPr>
          <w:sz w:val="20"/>
        </w:rPr>
        <w:t xml:space="preserve">102. Понятие недвижимого имущества установлено </w:t>
      </w:r>
      <w:hyperlink w:history="0" r:id="rId180"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130</w:t>
        </w:r>
      </w:hyperlink>
      <w:r>
        <w:rPr>
          <w:sz w:val="20"/>
        </w:rPr>
        <w:t xml:space="preserve"> Гражданского кодекса Российской Федерации. Согласно указанной </w:t>
      </w:r>
      <w:hyperlink w:history="0" r:id="rId181"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w:t>
        </w:r>
      </w:hyperlink>
      <w:r>
        <w:rPr>
          <w:sz w:val="20"/>
        </w:rP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pPr>
        <w:pStyle w:val="0"/>
        <w:spacing w:before="200" w:line-rule="auto"/>
        <w:ind w:firstLine="540"/>
        <w:jc w:val="both"/>
      </w:pPr>
      <w:r>
        <w:rPr>
          <w:sz w:val="20"/>
        </w:rPr>
        <w:t xml:space="preserve">103. При заполнении данного </w:t>
      </w:r>
      <w:hyperlink w:history="0" r:id="rId18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подраздела</w:t>
        </w:r>
      </w:hyperlink>
      <w:r>
        <w:rPr>
          <w:sz w:val="20"/>
        </w:rP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pPr>
        <w:pStyle w:val="0"/>
        <w:spacing w:before="200" w:line-rule="auto"/>
        <w:ind w:firstLine="540"/>
        <w:jc w:val="both"/>
      </w:pPr>
      <w:r>
        <w:rPr>
          <w:sz w:val="20"/>
        </w:rPr>
        <w:t xml:space="preserve">Также в данном </w:t>
      </w:r>
      <w:hyperlink w:history="0" r:id="rId18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pPr>
        <w:pStyle w:val="0"/>
        <w:spacing w:before="200" w:line-rule="auto"/>
        <w:ind w:firstLine="540"/>
        <w:jc w:val="both"/>
      </w:pPr>
      <w:r>
        <w:rPr>
          <w:sz w:val="20"/>
        </w:rPr>
        <w:t xml:space="preserve">При заполнении данного </w:t>
      </w:r>
      <w:hyperlink w:history="0" r:id="rId18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подраздела</w:t>
        </w:r>
      </w:hyperlink>
      <w:r>
        <w:rPr>
          <w:sz w:val="20"/>
        </w:rP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hyperlink w:history="0" w:anchor="P470" w:tooltip="121. В случае если право на недвижимое имущество возникло до вступления в силу Федерального закона от 21 июля 1997 г. N 122-ФЗ &quot;О государственной регистрации прав на недвижимое имущество и сделок с ним&quot;,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
        <w:r>
          <w:rPr>
            <w:sz w:val="20"/>
            <w:color w:val="0000ff"/>
          </w:rPr>
          <w:t xml:space="preserve">пунктом 121</w:t>
        </w:r>
      </w:hyperlink>
      <w:r>
        <w:rPr>
          <w:sz w:val="20"/>
        </w:rPr>
        <w:t xml:space="preserve"> настоящих Методических рекомендаций).</w:t>
      </w:r>
    </w:p>
    <w:p>
      <w:pPr>
        <w:pStyle w:val="0"/>
        <w:spacing w:before="200" w:line-rule="auto"/>
        <w:ind w:firstLine="540"/>
        <w:jc w:val="both"/>
      </w:pPr>
      <w:r>
        <w:rPr>
          <w:sz w:val="20"/>
        </w:rPr>
        <w:t xml:space="preserve">104.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w:history="0" r:id="rId185" w:tooltip="Федеральный закон от 13.07.2015 N 218-ФЗ (ред. от 14.02.2024) &quot;О государственной регистрации недвижимости&quot; {КонсультантПлюс}">
        <w:r>
          <w:rPr>
            <w:sz w:val="20"/>
            <w:color w:val="0000ff"/>
          </w:rPr>
          <w:t xml:space="preserve">часть 3 статьи 1</w:t>
        </w:r>
      </w:hyperlink>
      <w:r>
        <w:rPr>
          <w:sz w:val="20"/>
        </w:rPr>
        <w:t xml:space="preserve"> Федерального закона от 13 июля 2015 г. N 218-ФЗ "О государственной регистрации недвижимости").</w:t>
      </w:r>
    </w:p>
    <w:p>
      <w:pPr>
        <w:pStyle w:val="0"/>
        <w:spacing w:before="200" w:line-rule="auto"/>
        <w:ind w:firstLine="540"/>
        <w:jc w:val="both"/>
      </w:pPr>
      <w:r>
        <w:rPr>
          <w:sz w:val="20"/>
        </w:rPr>
        <w:t xml:space="preserve">В связи с этим сведения об объекте недвижимости указываются в данном </w:t>
      </w:r>
      <w:hyperlink w:history="0" r:id="rId18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hyperlink w:history="0" w:anchor="P470" w:tooltip="121. В случае если право на недвижимое имущество возникло до вступления в силу Федерального закона от 21 июля 1997 г. N 122-ФЗ &quot;О государственной регистрации прав на недвижимое имущество и сделок с ним&quot;,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
        <w:r>
          <w:rPr>
            <w:sz w:val="20"/>
            <w:color w:val="0000ff"/>
          </w:rPr>
          <w:t xml:space="preserve">пунктом 121</w:t>
        </w:r>
      </w:hyperlink>
      <w:r>
        <w:rPr>
          <w:sz w:val="20"/>
        </w:rPr>
        <w:t xml:space="preserve"> настоящих Методических рекомендаций).</w:t>
      </w:r>
    </w:p>
    <w:p>
      <w:pPr>
        <w:pStyle w:val="0"/>
        <w:spacing w:before="200" w:line-rule="auto"/>
        <w:ind w:firstLine="540"/>
        <w:jc w:val="both"/>
      </w:pPr>
      <w:r>
        <w:rPr>
          <w:sz w:val="20"/>
        </w:rPr>
        <w:t xml:space="preserve">105. В соответствии с </w:t>
      </w:r>
      <w:hyperlink w:history="0" r:id="rId187"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пунктом 4 статьи 218</w:t>
        </w:r>
      </w:hyperlink>
      <w:r>
        <w:rPr>
          <w:sz w:val="20"/>
        </w:rP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w:history="0" r:id="rId18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pPr>
        <w:pStyle w:val="0"/>
        <w:spacing w:before="200" w:line-rule="auto"/>
        <w:ind w:firstLine="540"/>
        <w:jc w:val="both"/>
      </w:pPr>
      <w:r>
        <w:rPr>
          <w:sz w:val="20"/>
        </w:rPr>
        <w:t xml:space="preserve">106. 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pPr>
        <w:pStyle w:val="0"/>
        <w:spacing w:before="200" w:line-rule="auto"/>
        <w:ind w:firstLine="540"/>
        <w:jc w:val="both"/>
      </w:pPr>
      <w:r>
        <w:rPr>
          <w:sz w:val="20"/>
        </w:rPr>
        <w:t xml:space="preserve">107.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pPr>
        <w:pStyle w:val="0"/>
        <w:spacing w:before="200" w:line-rule="auto"/>
        <w:ind w:firstLine="540"/>
        <w:jc w:val="both"/>
      </w:pPr>
      <w:r>
        <w:rPr>
          <w:sz w:val="20"/>
        </w:rPr>
        <w:t xml:space="preserve">Заполнение </w:t>
      </w:r>
      <w:hyperlink w:history="0" r:id="rId18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 "Вид и наименование имущества"</w:t>
      </w:r>
    </w:p>
    <w:bookmarkStart w:id="441" w:name="P441"/>
    <w:bookmarkEnd w:id="441"/>
    <w:p>
      <w:pPr>
        <w:pStyle w:val="0"/>
        <w:spacing w:before="200" w:line-rule="auto"/>
        <w:ind w:firstLine="540"/>
        <w:jc w:val="both"/>
      </w:pPr>
      <w:r>
        <w:rPr>
          <w:sz w:val="20"/>
        </w:rPr>
        <w:t xml:space="preserve">108.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pPr>
        <w:pStyle w:val="0"/>
        <w:spacing w:before="200" w:line-rule="auto"/>
        <w:ind w:firstLine="540"/>
        <w:jc w:val="both"/>
      </w:pPr>
      <w:r>
        <w:rPr>
          <w:sz w:val="20"/>
        </w:rPr>
        <w:t xml:space="preserve">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pPr>
        <w:pStyle w:val="0"/>
        <w:spacing w:before="200" w:line-rule="auto"/>
        <w:ind w:firstLine="540"/>
        <w:jc w:val="both"/>
      </w:pPr>
      <w:r>
        <w:rPr>
          <w:sz w:val="20"/>
        </w:rPr>
        <w:t xml:space="preserve">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pPr>
        <w:pStyle w:val="0"/>
        <w:spacing w:before="200" w:line-rule="auto"/>
        <w:ind w:firstLine="540"/>
        <w:jc w:val="both"/>
      </w:pPr>
      <w:r>
        <w:rPr>
          <w:sz w:val="20"/>
        </w:rPr>
        <w:t xml:space="preserve">109. В соответствии со </w:t>
      </w:r>
      <w:hyperlink w:history="0" r:id="rId190" w:tooltip="Федеральный закон от 07.07.2003 N 112-ФЗ (ред. от 04.08.2023) &quot;О личном подсобном хозяйстве&quot; {КонсультантПлюс}">
        <w:r>
          <w:rPr>
            <w:sz w:val="20"/>
            <w:color w:val="0000ff"/>
          </w:rPr>
          <w:t xml:space="preserve">статьей 2</w:t>
        </w:r>
      </w:hyperlink>
      <w:r>
        <w:rPr>
          <w:sz w:val="20"/>
        </w:rP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pPr>
        <w:pStyle w:val="0"/>
        <w:spacing w:before="200" w:line-rule="auto"/>
        <w:ind w:firstLine="540"/>
        <w:jc w:val="both"/>
      </w:pPr>
      <w:r>
        <w:rPr>
          <w:sz w:val="20"/>
        </w:rPr>
        <w:t xml:space="preserve">110.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pPr>
        <w:pStyle w:val="0"/>
        <w:spacing w:before="200" w:line-rule="auto"/>
        <w:ind w:firstLine="540"/>
        <w:jc w:val="both"/>
      </w:pPr>
      <w:r>
        <w:rPr>
          <w:sz w:val="20"/>
        </w:rPr>
        <w:t xml:space="preserve">111. При наличии в собственности жилого или садового дома, которые указываются в </w:t>
      </w:r>
      <w:hyperlink w:history="0" r:id="rId19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пункте 2</w:t>
        </w:r>
      </w:hyperlink>
      <w:r>
        <w:rPr>
          <w:sz w:val="20"/>
        </w:rP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w:history="0" r:id="rId19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3.1 раздела 3</w:t>
        </w:r>
      </w:hyperlink>
      <w:r>
        <w:rPr>
          <w:sz w:val="20"/>
        </w:rPr>
        <w:t xml:space="preserve"> или </w:t>
      </w:r>
      <w:hyperlink w:history="0" r:id="rId19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6.1 раздела 6</w:t>
        </w:r>
      </w:hyperlink>
      <w:r>
        <w:rPr>
          <w:sz w:val="20"/>
        </w:rPr>
        <w:t xml:space="preserve"> справки.</w:t>
      </w:r>
    </w:p>
    <w:p>
      <w:pPr>
        <w:pStyle w:val="0"/>
        <w:spacing w:before="200" w:line-rule="auto"/>
        <w:ind w:firstLine="540"/>
        <w:jc w:val="both"/>
      </w:pPr>
      <w:r>
        <w:rPr>
          <w:sz w:val="20"/>
        </w:rPr>
        <w:t xml:space="preserve">112. В </w:t>
      </w:r>
      <w:hyperlink w:history="0" r:id="rId19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w:history="0" r:id="rId19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3.1 раздела 3</w:t>
        </w:r>
      </w:hyperlink>
      <w:r>
        <w:rPr>
          <w:sz w:val="20"/>
        </w:rPr>
        <w:t xml:space="preserve"> или </w:t>
      </w:r>
      <w:hyperlink w:history="0" r:id="rId19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6.1 раздела 6</w:t>
        </w:r>
      </w:hyperlink>
      <w:r>
        <w:rPr>
          <w:sz w:val="20"/>
        </w:rPr>
        <w:t xml:space="preserve"> справки.</w:t>
      </w:r>
    </w:p>
    <w:p>
      <w:pPr>
        <w:pStyle w:val="0"/>
        <w:spacing w:before="200" w:line-rule="auto"/>
        <w:ind w:firstLine="540"/>
        <w:jc w:val="both"/>
      </w:pPr>
      <w:r>
        <w:rPr>
          <w:sz w:val="20"/>
        </w:rPr>
        <w:t xml:space="preserve">113. В </w:t>
      </w:r>
      <w:hyperlink w:history="0" r:id="rId19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"Вид собственности" указывается вид собственности на имущество (индивидуальная, общая совместная, общая долевая).</w:t>
      </w:r>
    </w:p>
    <w:p>
      <w:pPr>
        <w:pStyle w:val="0"/>
        <w:spacing w:before="200" w:line-rule="auto"/>
        <w:ind w:firstLine="540"/>
        <w:jc w:val="both"/>
      </w:pPr>
      <w:r>
        <w:rPr>
          <w:sz w:val="20"/>
        </w:rPr>
        <w:t xml:space="preserve">114. В соответствии с Гражданским </w:t>
      </w:r>
      <w:hyperlink w:history="0" r:id="rId198"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кодексом</w:t>
        </w:r>
      </w:hyperlink>
      <w:r>
        <w:rPr>
          <w:sz w:val="20"/>
        </w:rP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pPr>
        <w:pStyle w:val="0"/>
        <w:spacing w:before="200" w:line-rule="auto"/>
        <w:ind w:firstLine="540"/>
        <w:jc w:val="both"/>
      </w:pPr>
      <w:r>
        <w:rPr>
          <w:sz w:val="20"/>
        </w:rPr>
        <w:t xml:space="preserve">115. При заполнении </w:t>
      </w:r>
      <w:hyperlink w:history="0" r:id="rId19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w:history="0" r:id="rId20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bookmarkStart w:id="451" w:name="P451"/>
    <w:bookmarkEnd w:id="451"/>
    <w:p>
      <w:pPr>
        <w:pStyle w:val="0"/>
        <w:spacing w:before="200" w:line-rule="auto"/>
        <w:ind w:firstLine="540"/>
        <w:jc w:val="both"/>
      </w:pPr>
      <w:r>
        <w:rPr>
          <w:sz w:val="20"/>
        </w:rPr>
        <w:t xml:space="preserve">116. Местонахождение (адрес) недвижимого имущества указывается согласно правоустанавливающим документам. При этом указывается:</w:t>
      </w:r>
    </w:p>
    <w:p>
      <w:pPr>
        <w:pStyle w:val="0"/>
        <w:spacing w:before="200" w:line-rule="auto"/>
        <w:ind w:firstLine="540"/>
        <w:jc w:val="both"/>
      </w:pPr>
      <w:r>
        <w:rPr>
          <w:sz w:val="20"/>
        </w:rPr>
        <w:t xml:space="preserve">1) субъект Российской Федерации;</w:t>
      </w:r>
    </w:p>
    <w:p>
      <w:pPr>
        <w:pStyle w:val="0"/>
        <w:spacing w:before="200" w:line-rule="auto"/>
        <w:ind w:firstLine="540"/>
        <w:jc w:val="both"/>
      </w:pPr>
      <w:r>
        <w:rPr>
          <w:sz w:val="20"/>
        </w:rPr>
        <w:t xml:space="preserve">2) район;</w:t>
      </w:r>
    </w:p>
    <w:p>
      <w:pPr>
        <w:pStyle w:val="0"/>
        <w:spacing w:before="200" w:line-rule="auto"/>
        <w:ind w:firstLine="540"/>
        <w:jc w:val="both"/>
      </w:pPr>
      <w:r>
        <w:rPr>
          <w:sz w:val="20"/>
        </w:rPr>
        <w:t xml:space="preserve">3) город, иной населенный пункт (село, поселок и т.д.);</w:t>
      </w:r>
    </w:p>
    <w:p>
      <w:pPr>
        <w:pStyle w:val="0"/>
        <w:spacing w:before="200" w:line-rule="auto"/>
        <w:ind w:firstLine="540"/>
        <w:jc w:val="both"/>
      </w:pPr>
      <w:r>
        <w:rPr>
          <w:sz w:val="20"/>
        </w:rPr>
        <w:t xml:space="preserve">4) улица (проспект, переулок и т.д.);</w:t>
      </w:r>
    </w:p>
    <w:p>
      <w:pPr>
        <w:pStyle w:val="0"/>
        <w:spacing w:before="200" w:line-rule="auto"/>
        <w:ind w:firstLine="540"/>
        <w:jc w:val="both"/>
      </w:pPr>
      <w:r>
        <w:rPr>
          <w:sz w:val="20"/>
        </w:rPr>
        <w:t xml:space="preserve">5) номер дома (владения, участка), корпуса (строения), квартиры.</w:t>
      </w:r>
    </w:p>
    <w:p>
      <w:pPr>
        <w:pStyle w:val="0"/>
        <w:spacing w:before="200" w:line-rule="auto"/>
        <w:ind w:firstLine="540"/>
        <w:jc w:val="both"/>
      </w:pPr>
      <w:r>
        <w:rPr>
          <w:sz w:val="20"/>
        </w:rPr>
        <w:t xml:space="preserve">Также рекомендуется указывать индекс.</w:t>
      </w:r>
    </w:p>
    <w:bookmarkStart w:id="458" w:name="P458"/>
    <w:bookmarkEnd w:id="458"/>
    <w:p>
      <w:pPr>
        <w:pStyle w:val="0"/>
        <w:spacing w:before="200" w:line-rule="auto"/>
        <w:ind w:firstLine="540"/>
        <w:jc w:val="both"/>
      </w:pPr>
      <w:r>
        <w:rPr>
          <w:sz w:val="20"/>
        </w:rPr>
        <w:t xml:space="preserve">117. Если недвижимое имущество находится за рубежом, то указывается:</w:t>
      </w:r>
    </w:p>
    <w:p>
      <w:pPr>
        <w:pStyle w:val="0"/>
        <w:spacing w:before="200" w:line-rule="auto"/>
        <w:ind w:firstLine="540"/>
        <w:jc w:val="both"/>
      </w:pPr>
      <w:r>
        <w:rPr>
          <w:sz w:val="20"/>
        </w:rPr>
        <w:t xml:space="preserve">1) наименование государства;</w:t>
      </w:r>
    </w:p>
    <w:p>
      <w:pPr>
        <w:pStyle w:val="0"/>
        <w:spacing w:before="200" w:line-rule="auto"/>
        <w:ind w:firstLine="540"/>
        <w:jc w:val="both"/>
      </w:pPr>
      <w:r>
        <w:rPr>
          <w:sz w:val="20"/>
        </w:rPr>
        <w:t xml:space="preserve">2) населенный пункт (иная единица административно-территориального деления);</w:t>
      </w:r>
    </w:p>
    <w:p>
      <w:pPr>
        <w:pStyle w:val="0"/>
        <w:spacing w:before="200" w:line-rule="auto"/>
        <w:ind w:firstLine="540"/>
        <w:jc w:val="both"/>
      </w:pPr>
      <w:r>
        <w:rPr>
          <w:sz w:val="20"/>
        </w:rPr>
        <w:t xml:space="preserve">3) почтовый адрес.</w:t>
      </w:r>
    </w:p>
    <w:bookmarkStart w:id="462" w:name="P462"/>
    <w:bookmarkEnd w:id="462"/>
    <w:p>
      <w:pPr>
        <w:pStyle w:val="0"/>
        <w:spacing w:before="200" w:line-rule="auto"/>
        <w:ind w:firstLine="540"/>
        <w:jc w:val="both"/>
      </w:pPr>
      <w:r>
        <w:rPr>
          <w:sz w:val="20"/>
        </w:rPr>
        <w:t xml:space="preserve">118.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pPr>
        <w:pStyle w:val="0"/>
        <w:spacing w:before="200" w:line-rule="auto"/>
        <w:ind w:firstLine="540"/>
        <w:jc w:val="both"/>
      </w:pPr>
      <w:r>
        <w:rPr>
          <w:sz w:val="20"/>
        </w:rPr>
        <w:t xml:space="preserve">119.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w:history="0" r:id="rId20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w:history="0" r:id="rId202"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законе</w:t>
        </w:r>
      </w:hyperlink>
      <w:r>
        <w:rPr>
          <w:sz w:val="20"/>
        </w:rP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pStyle w:val="0"/>
        <w:jc w:val="both"/>
      </w:pPr>
      <w:r>
        <w:rPr>
          <w:sz w:val="20"/>
        </w:rPr>
      </w:r>
    </w:p>
    <w:p>
      <w:pPr>
        <w:pStyle w:val="2"/>
        <w:outlineLvl w:val="3"/>
        <w:ind w:firstLine="540"/>
        <w:jc w:val="both"/>
      </w:pPr>
      <w:r>
        <w:rPr>
          <w:sz w:val="20"/>
        </w:rPr>
        <w:t xml:space="preserve">Основание приобретения и источники средств</w:t>
      </w:r>
    </w:p>
    <w:p>
      <w:pPr>
        <w:pStyle w:val="0"/>
        <w:spacing w:before="200" w:line-rule="auto"/>
        <w:ind w:firstLine="540"/>
        <w:jc w:val="both"/>
      </w:pPr>
      <w:r>
        <w:rPr>
          <w:sz w:val="20"/>
        </w:rPr>
        <w:t xml:space="preserve">120. По общему правилу, предусмотренному </w:t>
      </w:r>
      <w:hyperlink w:history="0" r:id="rId203"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пунктом 2 статьи 223</w:t>
        </w:r>
      </w:hyperlink>
      <w:r>
        <w:rPr>
          <w:sz w:val="20"/>
        </w:rP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w:history="0" r:id="rId20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раздела 3</w:t>
        </w:r>
      </w:hyperlink>
      <w:r>
        <w:rPr>
          <w:sz w:val="20"/>
        </w:rPr>
        <w:t xml:space="preserve"> справки отсутствуют. Вместе с тем такой объект подлежит указанию в </w:t>
      </w:r>
      <w:hyperlink w:history="0" r:id="rId20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6.1 раздела 6</w:t>
        </w:r>
      </w:hyperlink>
      <w:r>
        <w:rPr>
          <w:sz w:val="20"/>
        </w:rPr>
        <w:t xml:space="preserve"> справки (аналогично в случае ввода объекта в эксплуатацию).</w:t>
      </w:r>
    </w:p>
    <w:p>
      <w:pPr>
        <w:pStyle w:val="0"/>
        <w:spacing w:before="200" w:line-rule="auto"/>
        <w:ind w:firstLine="540"/>
        <w:jc w:val="both"/>
      </w:pPr>
      <w:r>
        <w:rPr>
          <w:sz w:val="20"/>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r>
        <w:rPr>
          <w:sz w:val="20"/>
        </w:rPr>
        <w:t xml:space="preserve">https://lk.rosreestr.ru/eservices/real-estate-objects-online</w:t>
      </w:r>
      <w:r>
        <w:rPr>
          <w:sz w:val="20"/>
        </w:rPr>
        <w:t xml:space="preserve">).</w:t>
      </w:r>
    </w:p>
    <w:p>
      <w:pPr>
        <w:pStyle w:val="0"/>
        <w:spacing w:before="200" w:line-rule="auto"/>
        <w:ind w:firstLine="540"/>
        <w:jc w:val="both"/>
      </w:pPr>
      <w:r>
        <w:rPr>
          <w:sz w:val="20"/>
        </w:rPr>
        <w:t xml:space="preserve">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pPr>
        <w:pStyle w:val="0"/>
        <w:spacing w:before="200" w:line-rule="auto"/>
        <w:ind w:firstLine="540"/>
        <w:jc w:val="both"/>
      </w:pPr>
      <w:r>
        <w:rPr>
          <w:sz w:val="20"/>
        </w:rPr>
        <w:t xml:space="preserve">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bookmarkStart w:id="470" w:name="P470"/>
    <w:bookmarkEnd w:id="470"/>
    <w:p>
      <w:pPr>
        <w:pStyle w:val="0"/>
        <w:spacing w:before="200" w:line-rule="auto"/>
        <w:ind w:firstLine="540"/>
        <w:jc w:val="both"/>
      </w:pPr>
      <w:r>
        <w:rPr>
          <w:sz w:val="20"/>
        </w:rPr>
        <w:t xml:space="preserve">121. В случае если право на недвижимое имущество возникло до вступления в силу Федерального </w:t>
      </w:r>
      <w:hyperlink w:history="0" r:id="rId206"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sz w:val="20"/>
            <w:color w:val="0000ff"/>
          </w:rPr>
          <w:t xml:space="preserve">закона</w:t>
        </w:r>
      </w:hyperlink>
      <w:r>
        <w:rPr>
          <w:sz w:val="20"/>
        </w:rP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w:history="0" r:id="rId207"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sz w:val="20"/>
            <w:color w:val="0000ff"/>
          </w:rPr>
          <w:t xml:space="preserve">Законом</w:t>
        </w:r>
      </w:hyperlink>
      <w:r>
        <w:rPr>
          <w:sz w:val="20"/>
        </w:rP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pPr>
        <w:pStyle w:val="0"/>
        <w:spacing w:before="200" w:line-rule="auto"/>
        <w:ind w:firstLine="540"/>
        <w:jc w:val="both"/>
      </w:pPr>
      <w:r>
        <w:rPr>
          <w:sz w:val="20"/>
        </w:rPr>
        <w:t xml:space="preserve">122.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N 77:02:0014017:1994-72/004/2023-2 от 27 марта 2023 г.; договор купли-продажи от 19 февраля 2023 г. или иное.</w:t>
      </w:r>
    </w:p>
    <w:p>
      <w:pPr>
        <w:pStyle w:val="0"/>
        <w:spacing w:before="200" w:line-rule="auto"/>
        <w:ind w:firstLine="540"/>
        <w:jc w:val="both"/>
      </w:pPr>
      <w:r>
        <w:rPr>
          <w:sz w:val="20"/>
        </w:rPr>
        <w:t xml:space="preserve">123.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w:history="0" r:id="rId208"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части 1 статьи 2</w:t>
        </w:r>
      </w:hyperlink>
      <w:r>
        <w:rPr>
          <w:sz w:val="20"/>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pPr>
        <w:pStyle w:val="0"/>
        <w:spacing w:before="200" w:line-rule="auto"/>
        <w:ind w:firstLine="540"/>
        <w:jc w:val="both"/>
      </w:pPr>
      <w:r>
        <w:rPr>
          <w:sz w:val="20"/>
        </w:rPr>
        <w:t xml:space="preserve">1) на лиц, замещающих (занимающих):</w:t>
      </w:r>
    </w:p>
    <w:bookmarkStart w:id="474" w:name="P474"/>
    <w:bookmarkEnd w:id="474"/>
    <w:p>
      <w:pPr>
        <w:pStyle w:val="0"/>
        <w:spacing w:before="200" w:line-rule="auto"/>
        <w:ind w:firstLine="540"/>
        <w:jc w:val="both"/>
      </w:pPr>
      <w:r>
        <w:rPr>
          <w:sz w:val="20"/>
        </w:rPr>
        <w:t xml:space="preserve">государственные должности Российской Федерации;</w:t>
      </w:r>
    </w:p>
    <w:p>
      <w:pPr>
        <w:pStyle w:val="0"/>
        <w:spacing w:before="200" w:line-rule="auto"/>
        <w:ind w:firstLine="540"/>
        <w:jc w:val="both"/>
      </w:pPr>
      <w:r>
        <w:rPr>
          <w:sz w:val="20"/>
        </w:rPr>
        <w:t xml:space="preserve">должности первого заместителя и заместителей Генерального прокурора Российской Федерации;</w:t>
      </w:r>
    </w:p>
    <w:p>
      <w:pPr>
        <w:pStyle w:val="0"/>
        <w:spacing w:before="200" w:line-rule="auto"/>
        <w:ind w:firstLine="540"/>
        <w:jc w:val="both"/>
      </w:pPr>
      <w:r>
        <w:rPr>
          <w:sz w:val="20"/>
        </w:rPr>
        <w:t xml:space="preserve">должности членов Совета директоров Центрального банка Российской Федерации;</w:t>
      </w:r>
    </w:p>
    <w:p>
      <w:pPr>
        <w:pStyle w:val="0"/>
        <w:spacing w:before="200" w:line-rule="auto"/>
        <w:ind w:firstLine="540"/>
        <w:jc w:val="both"/>
      </w:pPr>
      <w:r>
        <w:rPr>
          <w:sz w:val="20"/>
        </w:rPr>
        <w:t xml:space="preserve">государственные должности субъектов Российской Федерации;</w:t>
      </w:r>
    </w:p>
    <w:p>
      <w:pPr>
        <w:pStyle w:val="0"/>
        <w:spacing w:before="200" w:line-rule="auto"/>
        <w:ind w:firstLine="540"/>
        <w:jc w:val="both"/>
      </w:pPr>
      <w:r>
        <w:rPr>
          <w:sz w:val="20"/>
        </w:rPr>
        <w:t xml:space="preserve">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0"/>
        <w:spacing w:before="200" w:line-rule="auto"/>
        <w:ind w:firstLine="540"/>
        <w:jc w:val="both"/>
      </w:pPr>
      <w:r>
        <w:rPr>
          <w:sz w:val="20"/>
        </w:rPr>
        <w:t xml:space="preserve">должности заместителей руководителей федеральных органов исполнительной власти;</w:t>
      </w:r>
    </w:p>
    <w:p>
      <w:pPr>
        <w:pStyle w:val="0"/>
        <w:spacing w:before="200" w:line-rule="auto"/>
        <w:ind w:firstLine="540"/>
        <w:jc w:val="both"/>
      </w:pPr>
      <w:r>
        <w:rPr>
          <w:sz w:val="20"/>
        </w:rPr>
        <w:t xml:space="preserve">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bookmarkStart w:id="482" w:name="P482"/>
    <w:bookmarkEnd w:id="482"/>
    <w:p>
      <w:pPr>
        <w:pStyle w:val="0"/>
        <w:spacing w:before="200" w:line-rule="auto"/>
        <w:ind w:firstLine="540"/>
        <w:jc w:val="both"/>
      </w:pPr>
      <w:r>
        <w:rPr>
          <w:sz w:val="20"/>
        </w:rPr>
        <w:t xml:space="preserve">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pPr>
        <w:pStyle w:val="0"/>
        <w:spacing w:before="200" w:line-rule="auto"/>
        <w:ind w:firstLine="540"/>
        <w:jc w:val="both"/>
      </w:pPr>
      <w:r>
        <w:rPr>
          <w:sz w:val="20"/>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pPr>
        <w:pStyle w:val="0"/>
        <w:spacing w:before="200" w:line-rule="auto"/>
        <w:ind w:firstLine="540"/>
        <w:jc w:val="both"/>
      </w:pPr>
      <w:r>
        <w:rPr>
          <w:sz w:val="20"/>
        </w:rPr>
        <w:t xml:space="preserve">2) на супруг (супругов), несовершеннолетних детей лиц, указанных в </w:t>
      </w:r>
      <w:hyperlink w:history="0" w:anchor="P474" w:tooltip="государственные должности Российской Федерации;">
        <w:r>
          <w:rPr>
            <w:sz w:val="20"/>
            <w:color w:val="0000ff"/>
          </w:rPr>
          <w:t xml:space="preserve">абзацах втором</w:t>
        </w:r>
      </w:hyperlink>
      <w:r>
        <w:rPr>
          <w:sz w:val="20"/>
        </w:rPr>
        <w:t xml:space="preserve"> - </w:t>
      </w:r>
      <w:hyperlink w:history="0" w:anchor="P482" w:tooltip="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
        <w:r>
          <w:rPr>
            <w:sz w:val="20"/>
            <w:color w:val="0000ff"/>
          </w:rPr>
          <w:t xml:space="preserve">десятом подпункта 1</w:t>
        </w:r>
      </w:hyperlink>
      <w:r>
        <w:rPr>
          <w:sz w:val="20"/>
        </w:rPr>
        <w:t xml:space="preserve"> настоящего пункта;</w:t>
      </w:r>
    </w:p>
    <w:p>
      <w:pPr>
        <w:pStyle w:val="0"/>
        <w:spacing w:before="200" w:line-rule="auto"/>
        <w:ind w:firstLine="540"/>
        <w:jc w:val="both"/>
      </w:pPr>
      <w:r>
        <w:rPr>
          <w:sz w:val="20"/>
        </w:rPr>
        <w:t xml:space="preserve">3) иных лиц в случаях, предусмотренных федеральными законами.</w:t>
      </w:r>
    </w:p>
    <w:p>
      <w:pPr>
        <w:pStyle w:val="0"/>
        <w:spacing w:before="200" w:line-rule="auto"/>
        <w:ind w:firstLine="540"/>
        <w:jc w:val="both"/>
      </w:pPr>
      <w:r>
        <w:rPr>
          <w:sz w:val="20"/>
        </w:rPr>
        <w:t xml:space="preserve">124.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pPr>
        <w:pStyle w:val="0"/>
        <w:spacing w:before="200" w:line-rule="auto"/>
        <w:ind w:firstLine="540"/>
        <w:jc w:val="both"/>
      </w:pPr>
      <w:r>
        <w:rPr>
          <w:sz w:val="20"/>
        </w:rPr>
        <w:t xml:space="preserve">Сведения о вышеуказанном источнике отображаются в справке ежегодно, вне зависимости от года приобретения имущества.</w:t>
      </w:r>
    </w:p>
    <w:p>
      <w:pPr>
        <w:pStyle w:val="0"/>
        <w:spacing w:before="200" w:line-rule="auto"/>
        <w:ind w:firstLine="540"/>
        <w:jc w:val="both"/>
      </w:pPr>
      <w:r>
        <w:rPr>
          <w:sz w:val="20"/>
        </w:rPr>
        <w:t xml:space="preserve">125. 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w:t>
      </w:r>
      <w:hyperlink w:history="0" r:id="rId209" w:tooltip="Федеральный конституционный закон от 04.10.2022 N 5-ФКЗ (ред. от 25.12.2023)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N 5-ФКЗ</w:t>
        </w:r>
      </w:hyperlink>
      <w:r>
        <w:rPr>
          <w:sz w:val="20"/>
        </w:rP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w:history="0" r:id="rId210" w:tooltip="Федеральный конституционный закон от 04.10.2022 N 6-ФКЗ (ред. от 25.12.2023)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N 6-ФКЗ</w:t>
        </w:r>
      </w:hyperlink>
      <w:r>
        <w:rPr>
          <w:sz w:val="20"/>
        </w:rP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w:history="0" r:id="rId211" w:tooltip="Федеральный конституционный закон от 04.10.2022 N 7-ФКЗ (ред. от 25.12.2023)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N 7-ФКЗ</w:t>
        </w:r>
      </w:hyperlink>
      <w:r>
        <w:rPr>
          <w:sz w:val="20"/>
        </w:rP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w:history="0" r:id="rId212" w:tooltip="Федеральный конституционный закон от 04.10.2022 N 8-ФКЗ (ред. от 25.12.2023)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N 8-ФКЗ</w:t>
        </w:r>
      </w:hyperlink>
      <w:r>
        <w:rPr>
          <w:sz w:val="20"/>
        </w:rPr>
        <w:t xml:space="preserve"> "О принятии в Российскую Федерацию Херсонской области и образовании в составе Российской Федерации нового субъекта - Херсонской области").</w:t>
      </w:r>
    </w:p>
    <w:p>
      <w:pPr>
        <w:pStyle w:val="0"/>
        <w:jc w:val="both"/>
      </w:pPr>
      <w:r>
        <w:rPr>
          <w:sz w:val="20"/>
        </w:rPr>
      </w:r>
    </w:p>
    <w:p>
      <w:pPr>
        <w:pStyle w:val="2"/>
        <w:outlineLvl w:val="2"/>
        <w:ind w:firstLine="540"/>
        <w:jc w:val="both"/>
      </w:pPr>
      <w:hyperlink w:history="0" r:id="rId21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 3.2</w:t>
        </w:r>
      </w:hyperlink>
      <w:r>
        <w:rPr>
          <w:sz w:val="20"/>
        </w:rPr>
        <w:t xml:space="preserve">. Транспортные средства</w:t>
      </w:r>
    </w:p>
    <w:p>
      <w:pPr>
        <w:pStyle w:val="0"/>
        <w:spacing w:before="200" w:line-rule="auto"/>
        <w:ind w:firstLine="540"/>
        <w:jc w:val="both"/>
      </w:pPr>
      <w:r>
        <w:rPr>
          <w:sz w:val="20"/>
        </w:rPr>
        <w:t xml:space="preserve">126. В данном </w:t>
      </w:r>
      <w:hyperlink w:history="0" r:id="rId21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pPr>
        <w:pStyle w:val="0"/>
        <w:spacing w:before="200" w:line-rule="auto"/>
        <w:ind w:firstLine="540"/>
        <w:jc w:val="both"/>
      </w:pPr>
      <w:r>
        <w:rPr>
          <w:sz w:val="20"/>
        </w:rPr>
        <w:t xml:space="preserve">Также в данном </w:t>
      </w:r>
      <w:hyperlink w:history="0" r:id="rId21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pPr>
        <w:pStyle w:val="0"/>
        <w:spacing w:before="200" w:line-rule="auto"/>
        <w:ind w:firstLine="540"/>
        <w:jc w:val="both"/>
      </w:pPr>
      <w:r>
        <w:rPr>
          <w:sz w:val="20"/>
        </w:rPr>
        <w:t xml:space="preserve">127.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w:history="0" r:id="rId216" w:tooltip="Постановление Правительства РФ от 21.12.2019 N 1764 (ред. от 02.12.2022) &quot;О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quot; (вместе с &quot;Правилами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quot;) {КонсультантПлюс}">
        <w:r>
          <w:rPr>
            <w:sz w:val="20"/>
            <w:color w:val="0000ff"/>
          </w:rPr>
          <w:t xml:space="preserve">пункт 6</w:t>
        </w:r>
      </w:hyperlink>
      <w:r>
        <w:rPr>
          <w:sz w:val="20"/>
        </w:rP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pPr>
        <w:pStyle w:val="0"/>
        <w:spacing w:before="200" w:line-rule="auto"/>
        <w:ind w:firstLine="540"/>
        <w:jc w:val="both"/>
      </w:pPr>
      <w:r>
        <w:rPr>
          <w:sz w:val="20"/>
        </w:rPr>
        <w:t xml:space="preserve">128.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w:history="0" r:id="rId21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справки. Если на отчетную дату транспортное средство уже было отчуждено, то в </w:t>
      </w:r>
      <w:hyperlink w:history="0" r:id="rId21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3.2</w:t>
        </w:r>
      </w:hyperlink>
      <w:r>
        <w:rPr>
          <w:sz w:val="20"/>
        </w:rPr>
        <w:t xml:space="preserve"> справки его отражать не следует. При этом в </w:t>
      </w:r>
      <w:hyperlink w:history="0" r:id="rId21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1</w:t>
        </w:r>
      </w:hyperlink>
      <w:r>
        <w:rPr>
          <w:sz w:val="20"/>
        </w:rPr>
        <w:t xml:space="preserve"> справки следует указать доход от продажи транспортного средства, в том числе по схеме "трейд-ин".</w:t>
      </w:r>
    </w:p>
    <w:p>
      <w:pPr>
        <w:pStyle w:val="0"/>
        <w:spacing w:before="200" w:line-rule="auto"/>
        <w:ind w:firstLine="540"/>
        <w:jc w:val="both"/>
      </w:pPr>
      <w:r>
        <w:rPr>
          <w:sz w:val="20"/>
        </w:rPr>
        <w:t xml:space="preserve">129. Регистрация транспортных средств носит учетный характер и не служит основанием для возникновения (прекращения) на них права собственности (см. </w:t>
      </w:r>
      <w:hyperlink w:history="0" r:id="rId220" w:tooltip="Определение Судебной коллегии по гражданским делам Верховного Суда Российской Федерации от 16.04.2019 N 18-КГ19-9 Требование: О включении автомобиля в наследственную массу, признании права собственности на автомобиль. Обстоятельства: Наследник ссылается на то, что спорный автомобиль при жизни был снят наследодателем с регистрационного учета с целью продажи, что послужило основанием для отказа в выдаче свидетельства о праве собственности на автомобиль в порядке наследования. Решение: Дело направлено на новое {КонсультантПлюс}">
        <w:r>
          <w:rPr>
            <w:sz w:val="20"/>
            <w:color w:val="0000ff"/>
          </w:rPr>
          <w:t xml:space="preserve">Определение</w:t>
        </w:r>
      </w:hyperlink>
      <w:r>
        <w:rPr>
          <w:sz w:val="20"/>
        </w:rP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2023 года включительно продал легковой автомобиль, а новый собственник зарегистрировал такое транспортное средство только в январе 2024 года, то данный объект не подлежит отражению в </w:t>
      </w:r>
      <w:hyperlink w:history="0" r:id="rId22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3.2 раздела 3</w:t>
        </w:r>
      </w:hyperlink>
      <w:r>
        <w:rPr>
          <w:sz w:val="20"/>
        </w:rPr>
        <w:t xml:space="preserve"> справки служащего. При заполнении </w:t>
      </w:r>
      <w:hyperlink w:history="0" r:id="rId22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w:t>
      </w:r>
    </w:p>
    <w:p>
      <w:pPr>
        <w:pStyle w:val="0"/>
        <w:spacing w:before="200" w:line-rule="auto"/>
        <w:ind w:firstLine="540"/>
        <w:jc w:val="both"/>
      </w:pPr>
      <w:r>
        <w:rPr>
          <w:sz w:val="20"/>
        </w:rPr>
        <w:t xml:space="preserve">Также допускается указание кода подразделения ГИБДД в соответствии со свидетельством о регистрации транспортного средства.</w:t>
      </w:r>
    </w:p>
    <w:p>
      <w:pPr>
        <w:pStyle w:val="0"/>
        <w:spacing w:before="200" w:line-rule="auto"/>
        <w:ind w:firstLine="540"/>
        <w:jc w:val="both"/>
      </w:pPr>
      <w:r>
        <w:rPr>
          <w:sz w:val="20"/>
        </w:rPr>
        <w:t xml:space="preserve">В случае отсутствия регистрации допускается указать "Отсутствует".</w:t>
      </w:r>
    </w:p>
    <w:p>
      <w:pPr>
        <w:pStyle w:val="0"/>
        <w:spacing w:before="200" w:line-rule="auto"/>
        <w:ind w:firstLine="540"/>
        <w:jc w:val="both"/>
      </w:pPr>
      <w:r>
        <w:rPr>
          <w:sz w:val="20"/>
        </w:rPr>
        <w:t xml:space="preserve">130. Аналогичным подходом необходимо руководствоваться при указании в данном </w:t>
      </w:r>
      <w:hyperlink w:history="0" r:id="rId22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водного, воздушного транспорта.</w:t>
      </w:r>
    </w:p>
    <w:p>
      <w:pPr>
        <w:pStyle w:val="0"/>
        <w:spacing w:before="200" w:line-rule="auto"/>
        <w:ind w:firstLine="540"/>
        <w:jc w:val="both"/>
      </w:pPr>
      <w:r>
        <w:rPr>
          <w:sz w:val="20"/>
        </w:rPr>
        <w:t xml:space="preserve">131. В </w:t>
      </w:r>
      <w:hyperlink w:history="0" r:id="rId22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"Иные транспортные средства" подлежат указанию, в частности, прицепы, зарегистрированные в установленном порядке.</w:t>
      </w:r>
    </w:p>
    <w:p>
      <w:pPr>
        <w:pStyle w:val="0"/>
        <w:spacing w:before="200" w:line-rule="auto"/>
        <w:ind w:firstLine="540"/>
        <w:jc w:val="both"/>
      </w:pPr>
      <w:r>
        <w:rPr>
          <w:sz w:val="20"/>
        </w:rPr>
        <w:t xml:space="preserve">Подвесной лодочный мотор не является ни объектом недвижимого имущества, ни транспортным средством и в этой связи не подлежит отражению в справке.</w:t>
      </w:r>
    </w:p>
    <w:p>
      <w:pPr>
        <w:pStyle w:val="0"/>
        <w:jc w:val="both"/>
      </w:pPr>
      <w:r>
        <w:rPr>
          <w:sz w:val="20"/>
        </w:rPr>
      </w:r>
    </w:p>
    <w:p>
      <w:pPr>
        <w:pStyle w:val="2"/>
        <w:outlineLvl w:val="2"/>
        <w:ind w:firstLine="540"/>
        <w:jc w:val="both"/>
      </w:pPr>
      <w:hyperlink w:history="0" r:id="rId22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 3.3</w:t>
        </w:r>
      </w:hyperlink>
      <w:r>
        <w:rPr>
          <w:sz w:val="20"/>
        </w:rPr>
        <w:t xml:space="preserve">. Цифровые финансовые активы, цифровые права, включающие одновременно цифровые финансовые активы и иные цифровые права</w:t>
      </w:r>
    </w:p>
    <w:p>
      <w:pPr>
        <w:pStyle w:val="0"/>
        <w:spacing w:before="200" w:line-rule="auto"/>
        <w:ind w:firstLine="540"/>
        <w:jc w:val="both"/>
      </w:pPr>
      <w:r>
        <w:rPr>
          <w:sz w:val="20"/>
        </w:rPr>
        <w:t xml:space="preserve">132. В соответствии со </w:t>
      </w:r>
      <w:hyperlink w:history="0" r:id="rId226"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141.1</w:t>
        </w:r>
      </w:hyperlink>
      <w:r>
        <w:rPr>
          <w:sz w:val="20"/>
        </w:rPr>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pPr>
        <w:pStyle w:val="0"/>
        <w:spacing w:before="200" w:line-rule="auto"/>
        <w:ind w:firstLine="540"/>
        <w:jc w:val="both"/>
      </w:pPr>
      <w:r>
        <w:rPr>
          <w:sz w:val="20"/>
        </w:rPr>
        <w:t xml:space="preserve">133. В соответствии со </w:t>
      </w:r>
      <w:hyperlink w:history="0" r:id="rId227" w:tooltip="Федеральный закон от 31.07.2020 N 259-ФЗ (ред. от 04.08.2023)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статьей 1</w:t>
        </w:r>
      </w:hyperlink>
      <w:r>
        <w:rPr>
          <w:sz w:val="20"/>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w:history="0" r:id="rId228" w:tooltip="Федеральный закон от 31.07.2020 N 259-ФЗ (ред. от 04.08.2023)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pPr>
        <w:pStyle w:val="0"/>
        <w:spacing w:before="200" w:line-rule="auto"/>
        <w:ind w:firstLine="540"/>
        <w:jc w:val="both"/>
      </w:pPr>
      <w:r>
        <w:rPr>
          <w:sz w:val="20"/>
        </w:rP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w:history="0" r:id="rId229" w:tooltip="Федеральный закон от 31.07.2020 N 259-ФЗ (ред. от 04.08.2023)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к выпуску, учету и обращению цифровых финансовых активов.</w:t>
      </w:r>
    </w:p>
    <w:p>
      <w:pPr>
        <w:pStyle w:val="0"/>
        <w:spacing w:before="200" w:line-rule="auto"/>
        <w:ind w:firstLine="540"/>
        <w:jc w:val="both"/>
      </w:pPr>
      <w:r>
        <w:rPr>
          <w:sz w:val="20"/>
        </w:rPr>
        <w:t xml:space="preserve">134. В </w:t>
      </w:r>
      <w:hyperlink w:history="0" r:id="rId23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pPr>
        <w:pStyle w:val="0"/>
        <w:spacing w:before="200" w:line-rule="auto"/>
        <w:ind w:firstLine="540"/>
        <w:jc w:val="both"/>
      </w:pPr>
      <w:r>
        <w:rPr>
          <w:sz w:val="20"/>
        </w:rPr>
        <w:t xml:space="preserve">135. В </w:t>
      </w:r>
      <w:hyperlink w:history="0" r:id="rId23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pPr>
        <w:pStyle w:val="0"/>
        <w:spacing w:before="200" w:line-rule="auto"/>
        <w:ind w:firstLine="540"/>
        <w:jc w:val="both"/>
      </w:pPr>
      <w:r>
        <w:rPr>
          <w:sz w:val="20"/>
        </w:rPr>
        <w:t xml:space="preserve">136. В </w:t>
      </w:r>
      <w:hyperlink w:history="0" r:id="rId23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pPr>
        <w:pStyle w:val="0"/>
        <w:spacing w:before="200" w:line-rule="auto"/>
        <w:ind w:firstLine="540"/>
        <w:jc w:val="both"/>
      </w:pPr>
      <w:r>
        <w:rPr>
          <w:sz w:val="20"/>
        </w:rPr>
        <w:t xml:space="preserve">137. В </w:t>
      </w:r>
      <w:hyperlink w:history="0" r:id="rId23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pPr>
        <w:pStyle w:val="0"/>
        <w:spacing w:before="200" w:line-rule="auto"/>
        <w:ind w:firstLine="540"/>
        <w:jc w:val="both"/>
      </w:pPr>
      <w:r>
        <w:rPr>
          <w:sz w:val="20"/>
        </w:rPr>
        <w:t xml:space="preserve">138.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r>
        <w:rPr>
          <w:sz w:val="20"/>
        </w:rPr>
        <w:t xml:space="preserve">https://cbr.ru/vfs/registers/infr/list_OIS.xlsx</w:t>
      </w:r>
      <w:r>
        <w:rPr>
          <w:sz w:val="20"/>
        </w:rPr>
        <w:t xml:space="preserve">.</w:t>
      </w:r>
    </w:p>
    <w:p>
      <w:pPr>
        <w:pStyle w:val="0"/>
        <w:jc w:val="both"/>
      </w:pPr>
      <w:r>
        <w:rPr>
          <w:sz w:val="20"/>
        </w:rPr>
      </w:r>
    </w:p>
    <w:p>
      <w:pPr>
        <w:pStyle w:val="2"/>
        <w:outlineLvl w:val="2"/>
        <w:ind w:firstLine="540"/>
        <w:jc w:val="both"/>
      </w:pPr>
      <w:hyperlink w:history="0" r:id="rId23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 3.4</w:t>
        </w:r>
      </w:hyperlink>
      <w:r>
        <w:rPr>
          <w:sz w:val="20"/>
        </w:rPr>
        <w:t xml:space="preserve">. Утилитарные цифровые права</w:t>
      </w:r>
    </w:p>
    <w:p>
      <w:pPr>
        <w:pStyle w:val="0"/>
        <w:spacing w:before="200" w:line-rule="auto"/>
        <w:ind w:firstLine="540"/>
        <w:jc w:val="both"/>
      </w:pPr>
      <w:r>
        <w:rPr>
          <w:sz w:val="20"/>
        </w:rPr>
        <w:t xml:space="preserve">139. </w:t>
      </w:r>
      <w:hyperlink w:history="0" r:id="rId235" w:tooltip="Федеральный закон от 02.08.2019 N 259-ФЗ (ред. от 04.08.2023) &quot;О привлечении инвестиций с использованием инвестиционных платформ и о внесении изменений в отдельные законодательные акты Российской Федерации&quot; {КонсультантПлюс}">
        <w:r>
          <w:rPr>
            <w:sz w:val="20"/>
            <w:color w:val="0000ff"/>
          </w:rPr>
          <w:t xml:space="preserve">Частью 1 статьи 8</w:t>
        </w:r>
      </w:hyperlink>
      <w:r>
        <w:rPr>
          <w:sz w:val="20"/>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w:t>
      </w:r>
      <w:hyperlink w:history="0" r:id="rId236" w:tooltip="Федеральный закон от 02.08.2019 N 259-ФЗ (ред. от 04.08.2023) &quot;О привлечении инвестиций с использованием инвестиционных платформ и о внесении изменений в отдельные законодательные акты Российской Федерации&quot; {КонсультантПлюс}">
        <w:r>
          <w:rPr>
            <w:sz w:val="20"/>
            <w:color w:val="0000ff"/>
          </w:rPr>
          <w:t xml:space="preserve">частью 5 статьи 11</w:t>
        </w:r>
      </w:hyperlink>
      <w:r>
        <w:rPr>
          <w:sz w:val="20"/>
        </w:rPr>
        <w:t xml:space="preserve"> указанного Федерального закона, могут приобретаться, отчуждаться и осуществляться следующие цифровые права (утилитарные цифровые права):</w:t>
      </w:r>
    </w:p>
    <w:p>
      <w:pPr>
        <w:pStyle w:val="0"/>
        <w:spacing w:before="200" w:line-rule="auto"/>
        <w:ind w:firstLine="540"/>
        <w:jc w:val="both"/>
      </w:pPr>
      <w:r>
        <w:rPr>
          <w:sz w:val="20"/>
        </w:rPr>
        <w:t xml:space="preserve">1) право требовать передачи вещи (вещей) (например, право требования золота в слитках при инвестировании в добычу золота);</w:t>
      </w:r>
    </w:p>
    <w:p>
      <w:pPr>
        <w:pStyle w:val="0"/>
        <w:spacing w:before="200" w:line-rule="auto"/>
        <w:ind w:firstLine="540"/>
        <w:jc w:val="both"/>
      </w:pPr>
      <w:r>
        <w:rPr>
          <w:sz w:val="20"/>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pPr>
        <w:pStyle w:val="0"/>
        <w:spacing w:before="200" w:line-rule="auto"/>
        <w:ind w:firstLine="540"/>
        <w:jc w:val="both"/>
      </w:pPr>
      <w:r>
        <w:rPr>
          <w:sz w:val="20"/>
        </w:rPr>
        <w:t xml:space="preserve">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pPr>
        <w:pStyle w:val="0"/>
        <w:spacing w:before="200" w:line-rule="auto"/>
        <w:ind w:firstLine="540"/>
        <w:jc w:val="both"/>
      </w:pPr>
      <w:r>
        <w:rPr>
          <w:sz w:val="20"/>
        </w:rPr>
        <w:t xml:space="preserve">140. Приобретение утилитарных цифровых прав является одним из способов инвестирования с использованием инвестиционной платформы в соответствии со </w:t>
      </w:r>
      <w:hyperlink w:history="0" r:id="rId237" w:tooltip="Федеральный закон от 02.08.2019 N 259-ФЗ (ред. от 04.08.2023) &quot;О привлечении инвестиций с использованием инвестиционных платформ и о внесении изменений в отдельные законодательные акты Российской Федерации&quot; {КонсультантПлюс}">
        <w:r>
          <w:rPr>
            <w:sz w:val="20"/>
            <w:color w:val="0000ff"/>
          </w:rPr>
          <w:t xml:space="preserve">статьей 5</w:t>
        </w:r>
      </w:hyperlink>
      <w:r>
        <w:rPr>
          <w:sz w:val="20"/>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w:t>
      </w:r>
      <w:hyperlink w:history="0" r:id="rId23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раздела 3</w:t>
        </w:r>
      </w:hyperlink>
      <w:r>
        <w:rPr>
          <w:sz w:val="20"/>
        </w:rPr>
        <w:t xml:space="preserve"> справки.</w:t>
      </w:r>
    </w:p>
    <w:p>
      <w:pPr>
        <w:pStyle w:val="0"/>
        <w:spacing w:before="200" w:line-rule="auto"/>
        <w:ind w:firstLine="540"/>
        <w:jc w:val="both"/>
      </w:pPr>
      <w:r>
        <w:rPr>
          <w:sz w:val="20"/>
        </w:rPr>
        <w:t xml:space="preserve">141. В </w:t>
      </w:r>
      <w:hyperlink w:history="0" r:id="rId23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"Уникальное условное обозначение" указывается уникальное условное обозначение, идентифицирующее утилитарное цифровое право.</w:t>
      </w:r>
    </w:p>
    <w:p>
      <w:pPr>
        <w:pStyle w:val="0"/>
        <w:spacing w:before="200" w:line-rule="auto"/>
        <w:ind w:firstLine="540"/>
        <w:jc w:val="both"/>
      </w:pPr>
      <w:r>
        <w:rPr>
          <w:sz w:val="20"/>
        </w:rPr>
        <w:t xml:space="preserve">142. В </w:t>
      </w:r>
      <w:hyperlink w:history="0" r:id="rId24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"Дата приобретения" указывается дата приобретения утилитарного цифрового права.</w:t>
      </w:r>
    </w:p>
    <w:p>
      <w:pPr>
        <w:pStyle w:val="0"/>
        <w:spacing w:before="200" w:line-rule="auto"/>
        <w:ind w:firstLine="540"/>
        <w:jc w:val="both"/>
      </w:pPr>
      <w:r>
        <w:rPr>
          <w:sz w:val="20"/>
        </w:rPr>
        <w:t xml:space="preserve">143. В </w:t>
      </w:r>
      <w:hyperlink w:history="0" r:id="rId24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w:t>
      </w:r>
      <w:hyperlink w:history="0" w:anchor="P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Под инвестициями в соответствии с </w:t>
      </w:r>
      <w:hyperlink w:history="0" r:id="rId242" w:tooltip="Федеральный закон от 02.08.2019 N 259-ФЗ (ред. от 04.08.2023) &quot;О привлечении инвестиций с использованием инвестиционных платформ и о внесении изменений в отдельные законодательные акты Российской Федерации&quot; {КонсультантПлюс}">
        <w:r>
          <w:rPr>
            <w:sz w:val="20"/>
            <w:color w:val="0000ff"/>
          </w:rPr>
          <w:t xml:space="preserve">пунктом 2 части 1 статьи 2</w:t>
        </w:r>
      </w:hyperlink>
      <w:r>
        <w:rPr>
          <w:sz w:val="20"/>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pPr>
        <w:pStyle w:val="0"/>
        <w:spacing w:before="200" w:line-rule="auto"/>
        <w:ind w:firstLine="540"/>
        <w:jc w:val="both"/>
      </w:pPr>
      <w:r>
        <w:rPr>
          <w:sz w:val="20"/>
        </w:rPr>
        <w:t xml:space="preserve">144. В </w:t>
      </w:r>
      <w:hyperlink w:history="0" r:id="rId24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pPr>
        <w:pStyle w:val="0"/>
        <w:spacing w:before="200" w:line-rule="auto"/>
        <w:ind w:firstLine="540"/>
        <w:jc w:val="both"/>
      </w:pPr>
      <w:r>
        <w:rPr>
          <w:sz w:val="20"/>
        </w:rPr>
        <w:t xml:space="preserve">Реестр операторов инвестиционных платформ размещен на официальном сайте Банка России по ссылке: </w:t>
      </w:r>
      <w:r>
        <w:rPr>
          <w:sz w:val="20"/>
        </w:rPr>
        <w:t xml:space="preserve">https://cbr.ru/vfs/registers/infr/list_invest_platform_op.xlsx</w:t>
      </w:r>
      <w:r>
        <w:rPr>
          <w:sz w:val="20"/>
        </w:rPr>
        <w:t xml:space="preserve">.</w:t>
      </w:r>
    </w:p>
    <w:p>
      <w:pPr>
        <w:pStyle w:val="0"/>
        <w:jc w:val="both"/>
      </w:pPr>
      <w:r>
        <w:rPr>
          <w:sz w:val="20"/>
        </w:rPr>
      </w:r>
    </w:p>
    <w:p>
      <w:pPr>
        <w:pStyle w:val="2"/>
        <w:outlineLvl w:val="2"/>
        <w:ind w:firstLine="540"/>
        <w:jc w:val="both"/>
      </w:pPr>
      <w:hyperlink w:history="0" r:id="rId24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 3.5</w:t>
        </w:r>
      </w:hyperlink>
      <w:r>
        <w:rPr>
          <w:sz w:val="20"/>
        </w:rPr>
        <w:t xml:space="preserve">. Цифровая валюта</w:t>
      </w:r>
    </w:p>
    <w:p>
      <w:pPr>
        <w:pStyle w:val="0"/>
        <w:spacing w:before="200" w:line-rule="auto"/>
        <w:ind w:firstLine="540"/>
        <w:jc w:val="both"/>
      </w:pPr>
      <w:r>
        <w:rPr>
          <w:sz w:val="20"/>
        </w:rPr>
        <w:t xml:space="preserve">145. В соответствии со </w:t>
      </w:r>
      <w:hyperlink w:history="0" r:id="rId245" w:tooltip="Федеральный закон от 31.07.2020 N 259-ФЗ (ред. от 04.08.2023)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статьей 1</w:t>
        </w:r>
      </w:hyperlink>
      <w:r>
        <w:rPr>
          <w:sz w:val="20"/>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pPr>
        <w:pStyle w:val="0"/>
        <w:spacing w:before="200" w:line-rule="auto"/>
        <w:ind w:firstLine="540"/>
        <w:jc w:val="both"/>
      </w:pPr>
      <w:r>
        <w:rPr>
          <w:sz w:val="20"/>
        </w:rPr>
        <w:t xml:space="preserve">146.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pPr>
        <w:pStyle w:val="0"/>
        <w:spacing w:before="200" w:line-rule="auto"/>
        <w:ind w:firstLine="540"/>
        <w:jc w:val="both"/>
      </w:pPr>
      <w:r>
        <w:rPr>
          <w:sz w:val="20"/>
        </w:rPr>
        <w:t xml:space="preserve">147. Примерами цифровой валюты являются: Биткоин (BTC), Эфириум (ETH), Тезер (USDT) и др.</w:t>
      </w:r>
    </w:p>
    <w:p>
      <w:pPr>
        <w:pStyle w:val="0"/>
        <w:spacing w:before="200" w:line-rule="auto"/>
        <w:ind w:firstLine="540"/>
        <w:jc w:val="both"/>
      </w:pPr>
      <w:r>
        <w:rPr>
          <w:sz w:val="20"/>
        </w:rPr>
        <w:t xml:space="preserve">148. В </w:t>
      </w:r>
      <w:hyperlink w:history="0" r:id="rId24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pPr>
        <w:pStyle w:val="0"/>
        <w:spacing w:before="200" w:line-rule="auto"/>
        <w:ind w:firstLine="540"/>
        <w:jc w:val="both"/>
      </w:pPr>
      <w:r>
        <w:rPr>
          <w:sz w:val="20"/>
        </w:rPr>
        <w:t xml:space="preserve">149. В </w:t>
      </w:r>
      <w:hyperlink w:history="0" r:id="rId24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"Дата приобретения" указывается дата приобретения цифровой валюты.</w:t>
      </w:r>
    </w:p>
    <w:p>
      <w:pPr>
        <w:pStyle w:val="0"/>
        <w:spacing w:before="200" w:line-rule="auto"/>
        <w:ind w:firstLine="540"/>
        <w:jc w:val="both"/>
      </w:pPr>
      <w:r>
        <w:rPr>
          <w:sz w:val="20"/>
        </w:rPr>
        <w:t xml:space="preserve">"Дата приобретения" цифровой валюты может совпадать с датой транзакции, то есть с датой передачи цифровой валюты от одного лица другому.</w:t>
      </w:r>
    </w:p>
    <w:p>
      <w:pPr>
        <w:pStyle w:val="0"/>
        <w:spacing w:before="200" w:line-rule="auto"/>
        <w:ind w:firstLine="540"/>
        <w:jc w:val="both"/>
      </w:pPr>
      <w:r>
        <w:rPr>
          <w:sz w:val="20"/>
        </w:rPr>
        <w:t xml:space="preserve">150. В </w:t>
      </w:r>
      <w:hyperlink w:history="0" r:id="rId24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"Общее количество" указывается точное количество цифровой валюты, находящейся в собственности (без округления).</w:t>
      </w:r>
    </w:p>
    <w:p>
      <w:pPr>
        <w:pStyle w:val="0"/>
        <w:jc w:val="both"/>
      </w:pPr>
      <w:r>
        <w:rPr>
          <w:sz w:val="20"/>
        </w:rPr>
      </w:r>
    </w:p>
    <w:p>
      <w:pPr>
        <w:pStyle w:val="2"/>
        <w:outlineLvl w:val="1"/>
        <w:jc w:val="center"/>
      </w:pPr>
      <w:hyperlink w:history="0" r:id="rId24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 4</w:t>
        </w:r>
      </w:hyperlink>
      <w:r>
        <w:rPr>
          <w:sz w:val="20"/>
        </w:rPr>
        <w:t xml:space="preserve">. СВЕДЕНИЯ О СЧЕТАХ В БАНКАХ И ИНЫХ</w:t>
      </w:r>
    </w:p>
    <w:p>
      <w:pPr>
        <w:pStyle w:val="2"/>
        <w:jc w:val="center"/>
      </w:pPr>
      <w:r>
        <w:rPr>
          <w:sz w:val="20"/>
        </w:rPr>
        <w:t xml:space="preserve">КРЕДИТНЫХ ОРГАНИЗАЦИЯХ</w:t>
      </w:r>
    </w:p>
    <w:p>
      <w:pPr>
        <w:pStyle w:val="0"/>
        <w:jc w:val="both"/>
      </w:pPr>
      <w:r>
        <w:rPr>
          <w:sz w:val="20"/>
        </w:rPr>
      </w:r>
    </w:p>
    <w:p>
      <w:pPr>
        <w:pStyle w:val="0"/>
        <w:ind w:firstLine="540"/>
        <w:jc w:val="both"/>
      </w:pPr>
      <w:r>
        <w:rPr>
          <w:sz w:val="20"/>
        </w:rPr>
        <w:t xml:space="preserve">151. В данном </w:t>
      </w:r>
      <w:hyperlink w:history="0" r:id="rId25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pPr>
        <w:pStyle w:val="0"/>
        <w:spacing w:before="200" w:line-rule="auto"/>
        <w:ind w:firstLine="540"/>
        <w:jc w:val="both"/>
      </w:pPr>
      <w:r>
        <w:rPr>
          <w:sz w:val="20"/>
        </w:rPr>
        <w:t xml:space="preserve">Информация о счетах, закрытых по состоянию на отчетную дату, не подлежит отражению в справке.</w:t>
      </w:r>
    </w:p>
    <w:p>
      <w:pPr>
        <w:pStyle w:val="0"/>
        <w:spacing w:before="200" w:line-rule="auto"/>
        <w:ind w:firstLine="540"/>
        <w:jc w:val="both"/>
      </w:pPr>
      <w:r>
        <w:rPr>
          <w:sz w:val="20"/>
        </w:rPr>
        <w:t xml:space="preserve">В данном </w:t>
      </w:r>
      <w:hyperlink w:history="0" r:id="rId25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w:t>
      </w:r>
      <w:hyperlink w:history="0" r:id="rId25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 4</w:t>
        </w:r>
      </w:hyperlink>
      <w:r>
        <w:rPr>
          <w:sz w:val="20"/>
        </w:rPr>
        <w:t xml:space="preserve"> справки не усматриваются. Карта может быть не привязана к счету, например, при открытии "Пушкинской карты" и др.</w:t>
      </w:r>
    </w:p>
    <w:p>
      <w:pPr>
        <w:pStyle w:val="0"/>
        <w:spacing w:before="200" w:line-rule="auto"/>
        <w:ind w:firstLine="540"/>
        <w:jc w:val="both"/>
      </w:pPr>
      <w:r>
        <w:rPr>
          <w:sz w:val="20"/>
        </w:rPr>
        <w:t xml:space="preserve">Счета (вклады), открытые в иностранных банках (иных кредитных организациях), также указываются в </w:t>
      </w:r>
      <w:hyperlink w:history="0" r:id="rId25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4</w:t>
        </w:r>
      </w:hyperlink>
      <w:r>
        <w:rPr>
          <w:sz w:val="20"/>
        </w:rPr>
        <w:t xml:space="preserve"> справки с учетом применимого регулирования (например, такие счета могут иметь иной вид счета, отличный от "Текущего" или "Депозитного").</w:t>
      </w:r>
    </w:p>
    <w:bookmarkStart w:id="541" w:name="P541"/>
    <w:bookmarkEnd w:id="541"/>
    <w:p>
      <w:pPr>
        <w:pStyle w:val="0"/>
        <w:spacing w:before="200" w:line-rule="auto"/>
        <w:ind w:firstLine="540"/>
        <w:jc w:val="both"/>
      </w:pPr>
      <w:r>
        <w:rPr>
          <w:sz w:val="20"/>
        </w:rPr>
        <w:t xml:space="preserve">152. В частности, подлежит указанию информация о следующих открытых счетах (в том числе о счетах, к которым не эмитированы (не выпущены) платежные карты):</w:t>
      </w:r>
    </w:p>
    <w:p>
      <w:pPr>
        <w:pStyle w:val="0"/>
        <w:spacing w:before="200" w:line-rule="auto"/>
        <w:ind w:firstLine="540"/>
        <w:jc w:val="both"/>
      </w:pPr>
      <w:r>
        <w:rPr>
          <w:sz w:val="20"/>
        </w:rPr>
        <w:t xml:space="preserve">1) счета с нулевым остатком по состоянию на отчетную дату;</w:t>
      </w:r>
    </w:p>
    <w:p>
      <w:pPr>
        <w:pStyle w:val="0"/>
        <w:spacing w:before="200" w:line-rule="auto"/>
        <w:ind w:firstLine="540"/>
        <w:jc w:val="both"/>
      </w:pPr>
      <w:r>
        <w:rPr>
          <w:sz w:val="20"/>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pPr>
        <w:pStyle w:val="0"/>
        <w:spacing w:before="200" w:line-rule="auto"/>
        <w:ind w:firstLine="540"/>
        <w:jc w:val="both"/>
      </w:pPr>
      <w:r>
        <w:rPr>
          <w:sz w:val="20"/>
        </w:rPr>
        <w:t xml:space="preserve">3) счета (вклады) в иностранных банках, расположенных за пределами Российской Федерации.</w:t>
      </w:r>
    </w:p>
    <w:p>
      <w:pPr>
        <w:pStyle w:val="0"/>
        <w:spacing w:before="200" w:line-rule="auto"/>
        <w:ind w:firstLine="540"/>
        <w:jc w:val="both"/>
      </w:pPr>
      <w:r>
        <w:rPr>
          <w:sz w:val="20"/>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w:history="0" r:id="rId25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закона</w:t>
        </w:r>
      </w:hyperlink>
      <w:r>
        <w:rPr>
          <w:sz w:val="20"/>
        </w:rPr>
        <w:t xml:space="preserve"> от 7 мая 2013 г. N 79-ФЗ;</w:t>
      </w:r>
    </w:p>
    <w:p>
      <w:pPr>
        <w:pStyle w:val="0"/>
        <w:spacing w:before="200" w:line-rule="auto"/>
        <w:ind w:firstLine="540"/>
        <w:jc w:val="both"/>
      </w:pPr>
      <w:r>
        <w:rPr>
          <w:sz w:val="20"/>
        </w:rPr>
        <w:t xml:space="preserve">4) счета, открытые для погашения кредита;</w:t>
      </w:r>
    </w:p>
    <w:p>
      <w:pPr>
        <w:pStyle w:val="0"/>
        <w:spacing w:before="200" w:line-rule="auto"/>
        <w:ind w:firstLine="540"/>
        <w:jc w:val="both"/>
      </w:pPr>
      <w:r>
        <w:rPr>
          <w:sz w:val="20"/>
        </w:rPr>
        <w:t xml:space="preserve">5) вклады (счета) в драгоценных металлах (в том числе указывается вид счета и металл, в котором он открыт);</w:t>
      </w:r>
    </w:p>
    <w:p>
      <w:pPr>
        <w:pStyle w:val="0"/>
        <w:spacing w:before="200" w:line-rule="auto"/>
        <w:ind w:firstLine="540"/>
        <w:jc w:val="both"/>
      </w:pPr>
      <w:r>
        <w:rPr>
          <w:sz w:val="20"/>
        </w:rPr>
        <w:t xml:space="preserve">6) счета, открытые гражданам, зарегистрированным в качестве индивидуальных предпринимателей;</w:t>
      </w:r>
    </w:p>
    <w:p>
      <w:pPr>
        <w:pStyle w:val="0"/>
        <w:spacing w:before="200" w:line-rule="auto"/>
        <w:ind w:firstLine="540"/>
        <w:jc w:val="both"/>
      </w:pPr>
      <w:r>
        <w:rPr>
          <w:sz w:val="20"/>
        </w:rPr>
        <w:t xml:space="preserve">7) номинальный счет;</w:t>
      </w:r>
    </w:p>
    <w:p>
      <w:pPr>
        <w:pStyle w:val="0"/>
        <w:spacing w:before="200" w:line-rule="auto"/>
        <w:ind w:firstLine="540"/>
        <w:jc w:val="both"/>
      </w:pPr>
      <w:r>
        <w:rPr>
          <w:sz w:val="20"/>
        </w:rPr>
        <w:t xml:space="preserve">8) счет эскроу;</w:t>
      </w:r>
    </w:p>
    <w:p>
      <w:pPr>
        <w:pStyle w:val="0"/>
        <w:spacing w:before="200" w:line-rule="auto"/>
        <w:ind w:firstLine="540"/>
        <w:jc w:val="both"/>
      </w:pPr>
      <w:r>
        <w:rPr>
          <w:sz w:val="20"/>
        </w:rPr>
        <w:t xml:space="preserve">9) счет цифрового рубля.</w:t>
      </w:r>
    </w:p>
    <w:p>
      <w:pPr>
        <w:pStyle w:val="0"/>
        <w:spacing w:before="200" w:line-rule="auto"/>
        <w:ind w:firstLine="540"/>
        <w:jc w:val="both"/>
      </w:pPr>
      <w:r>
        <w:rPr>
          <w:sz w:val="20"/>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pPr>
        <w:pStyle w:val="0"/>
        <w:spacing w:before="200" w:line-rule="auto"/>
        <w:ind w:firstLine="540"/>
        <w:jc w:val="both"/>
      </w:pPr>
      <w:r>
        <w:rPr>
          <w:sz w:val="20"/>
        </w:rPr>
        <w:t xml:space="preserve">Сведения об учетных ценах на аффинированные драгоценные металлы, устанавливаемых Банком России, размещены на его официальном сайте: </w:t>
      </w:r>
      <w:r>
        <w:rPr>
          <w:sz w:val="20"/>
        </w:rPr>
        <w:t xml:space="preserve">https://www.cbr.ru/hd_base/metall/metall_base_new/</w:t>
      </w:r>
      <w:r>
        <w:rPr>
          <w:sz w:val="20"/>
        </w:rPr>
        <w:t xml:space="preserve">.</w:t>
      </w:r>
    </w:p>
    <w:bookmarkStart w:id="554" w:name="P554"/>
    <w:bookmarkEnd w:id="554"/>
    <w:p>
      <w:pPr>
        <w:pStyle w:val="0"/>
        <w:spacing w:before="200" w:line-rule="auto"/>
        <w:ind w:firstLine="540"/>
        <w:jc w:val="both"/>
      </w:pPr>
      <w:r>
        <w:rPr>
          <w:sz w:val="20"/>
        </w:rPr>
        <w:t xml:space="preserve">153. С учетом целей антикоррупционного законодательства Российской Федерации в данном </w:t>
      </w:r>
      <w:hyperlink w:history="0" r:id="rId25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не указываются следующие счета:</w:t>
      </w:r>
    </w:p>
    <w:p>
      <w:pPr>
        <w:pStyle w:val="0"/>
        <w:spacing w:before="200" w:line-rule="auto"/>
        <w:ind w:firstLine="540"/>
        <w:jc w:val="both"/>
      </w:pPr>
      <w:r>
        <w:rPr>
          <w:sz w:val="20"/>
        </w:rPr>
        <w:t xml:space="preserve">1) счета, закрытые по состоянию на отчетную дату;</w:t>
      </w:r>
    </w:p>
    <w:p>
      <w:pPr>
        <w:pStyle w:val="0"/>
        <w:spacing w:before="200" w:line-rule="auto"/>
        <w:ind w:firstLine="540"/>
        <w:jc w:val="both"/>
      </w:pPr>
      <w:r>
        <w:rPr>
          <w:sz w:val="20"/>
        </w:rPr>
        <w:t xml:space="preserve">2) специальные избирательные счета, открытые в соответствии с Федеральным </w:t>
      </w:r>
      <w:hyperlink w:history="0" r:id="rId256" w:tooltip="Федеральный закон от 12.06.2002 N 67-ФЗ (ред. от 25.12.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3) публичные депозитные счета нотариуса;</w:t>
      </w:r>
    </w:p>
    <w:p>
      <w:pPr>
        <w:pStyle w:val="0"/>
        <w:spacing w:before="200" w:line-rule="auto"/>
        <w:ind w:firstLine="540"/>
        <w:jc w:val="both"/>
      </w:pPr>
      <w:r>
        <w:rPr>
          <w:sz w:val="20"/>
        </w:rPr>
        <w:t xml:space="preserve">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pPr>
        <w:pStyle w:val="0"/>
        <w:spacing w:before="200" w:line-rule="auto"/>
        <w:ind w:firstLine="540"/>
        <w:jc w:val="both"/>
      </w:pPr>
      <w:r>
        <w:rPr>
          <w:sz w:val="20"/>
        </w:rPr>
        <w:t xml:space="preserve">5) счета доверительного управления;</w:t>
      </w:r>
    </w:p>
    <w:p>
      <w:pPr>
        <w:pStyle w:val="0"/>
        <w:spacing w:before="200" w:line-rule="auto"/>
        <w:ind w:firstLine="540"/>
        <w:jc w:val="both"/>
      </w:pPr>
      <w:r>
        <w:rPr>
          <w:sz w:val="20"/>
        </w:rPr>
        <w:t xml:space="preserve">6) открываемые не на основании гражданско-правового договора счета, счета депо, счета брокера, индивидуальные инвестиционные счета;</w:t>
      </w:r>
    </w:p>
    <w:p>
      <w:pPr>
        <w:pStyle w:val="0"/>
        <w:spacing w:before="200" w:line-rule="auto"/>
        <w:ind w:firstLine="540"/>
        <w:jc w:val="both"/>
      </w:pPr>
      <w:r>
        <w:rPr>
          <w:sz w:val="20"/>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w:history="0" r:id="rId25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 в случае, предусмотренном </w:t>
      </w:r>
      <w:hyperlink w:history="0" w:anchor="P784" w:tooltip="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
        <w:r>
          <w:rPr>
            <w:sz w:val="20"/>
            <w:color w:val="0000ff"/>
          </w:rPr>
          <w:t xml:space="preserve">подпунктом 4 пункта 212</w:t>
        </w:r>
      </w:hyperlink>
      <w:r>
        <w:rPr>
          <w:sz w:val="20"/>
        </w:rPr>
        <w:t xml:space="preserve"> настоящих Методических рекомендаций.</w:t>
      </w:r>
    </w:p>
    <w:p>
      <w:pPr>
        <w:pStyle w:val="0"/>
        <w:spacing w:before="200" w:line-rule="auto"/>
        <w:ind w:firstLine="540"/>
        <w:jc w:val="both"/>
      </w:pPr>
      <w:r>
        <w:rPr>
          <w:sz w:val="20"/>
        </w:rPr>
        <w:t xml:space="preserve">7) синтетические счета.</w:t>
      </w:r>
    </w:p>
    <w:p>
      <w:pPr>
        <w:pStyle w:val="0"/>
        <w:spacing w:before="200" w:line-rule="auto"/>
        <w:ind w:firstLine="540"/>
        <w:jc w:val="both"/>
      </w:pPr>
      <w:r>
        <w:rPr>
          <w:sz w:val="20"/>
        </w:rPr>
        <w:t xml:space="preserve">154.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w:history="0" r:id="rId258"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w:t>
      </w:r>
    </w:p>
    <w:p>
      <w:pPr>
        <w:pStyle w:val="0"/>
        <w:spacing w:before="200" w:line-rule="auto"/>
        <w:ind w:firstLine="540"/>
        <w:jc w:val="both"/>
      </w:pPr>
      <w:r>
        <w:rPr>
          <w:sz w:val="20"/>
        </w:rPr>
        <w:t xml:space="preserve">Данное </w:t>
      </w:r>
      <w:hyperlink w:history="0" r:id="rId259"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Указание</w:t>
        </w:r>
      </w:hyperlink>
      <w:r>
        <w:rPr>
          <w:sz w:val="20"/>
        </w:rPr>
        <w:t xml:space="preserve">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pPr>
        <w:pStyle w:val="0"/>
        <w:spacing w:before="200" w:line-rule="auto"/>
        <w:ind w:firstLine="540"/>
        <w:jc w:val="both"/>
      </w:pPr>
      <w:r>
        <w:rPr>
          <w:sz w:val="20"/>
        </w:rPr>
        <w:t xml:space="preserve">В этой связи рекомендуется заполнять данный </w:t>
      </w:r>
      <w:hyperlink w:history="0" r:id="rId26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w:t>
        </w:r>
      </w:hyperlink>
      <w:r>
        <w:rPr>
          <w:sz w:val="20"/>
        </w:rPr>
        <w:t xml:space="preserve"> справки на основании информации, полученной в рамках </w:t>
      </w:r>
      <w:hyperlink w:history="0" r:id="rId261"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 которая является официальной.</w:t>
      </w:r>
    </w:p>
    <w:p>
      <w:pPr>
        <w:pStyle w:val="0"/>
        <w:spacing w:before="200" w:line-rule="auto"/>
        <w:ind w:firstLine="540"/>
        <w:jc w:val="both"/>
      </w:pPr>
      <w:r>
        <w:rPr>
          <w:sz w:val="20"/>
        </w:rPr>
        <w:t xml:space="preserve">Для счета цифрового рубля информацию целесообразно получать непосредственно у Банка России, который открывает такой счет.</w:t>
      </w:r>
    </w:p>
    <w:p>
      <w:pPr>
        <w:pStyle w:val="0"/>
        <w:spacing w:before="200" w:line-rule="auto"/>
        <w:ind w:firstLine="540"/>
        <w:jc w:val="both"/>
      </w:pPr>
      <w:r>
        <w:rPr>
          <w:sz w:val="20"/>
        </w:rPr>
        <w:t xml:space="preserve">155. В </w:t>
      </w:r>
      <w:hyperlink w:history="0" r:id="rId26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pPr>
        <w:pStyle w:val="0"/>
        <w:spacing w:before="200" w:line-rule="auto"/>
        <w:ind w:firstLine="540"/>
        <w:jc w:val="both"/>
      </w:pPr>
      <w:r>
        <w:rPr>
          <w:sz w:val="20"/>
        </w:rPr>
        <w:t xml:space="preserve">Поскольку счет цифрового рубля открывается исключительно Банком России, то в отношении такого счета указывается "Банк России, 107016, Москва, ул. Неглинная, д. 12, к. В.".</w:t>
      </w:r>
    </w:p>
    <w:p>
      <w:pPr>
        <w:pStyle w:val="0"/>
        <w:spacing w:before="200" w:line-rule="auto"/>
        <w:ind w:firstLine="540"/>
        <w:jc w:val="both"/>
      </w:pPr>
      <w:r>
        <w:rPr>
          <w:sz w:val="20"/>
        </w:rPr>
        <w:t xml:space="preserve">156. В </w:t>
      </w:r>
      <w:hyperlink w:history="0" r:id="rId26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"Вид и валюта счета" вид счета указывается с учетом норм Гражданского </w:t>
      </w:r>
      <w:hyperlink w:history="0" r:id="rId264"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кодекса</w:t>
        </w:r>
      </w:hyperlink>
      <w:r>
        <w:rPr>
          <w:sz w:val="20"/>
        </w:rPr>
        <w:t xml:space="preserve"> Российской Федерации, иных федеральных законов и </w:t>
      </w:r>
      <w:hyperlink w:history="0" r:id="rId265" w:tooltip="Инструкция Банка России от 30.06.2021 N 204-И (ред. от 10.04.2023) &quot;Об открытии, ведении и закрытии банковских счетов и счетов по вкладам (депозитам)&quot; (Зарегистрировано в Минюсте России 18.08.2021 N 64669) {КонсультантПлюс}">
        <w:r>
          <w:rPr>
            <w:sz w:val="20"/>
            <w:color w:val="0000ff"/>
          </w:rPr>
          <w:t xml:space="preserve">Инструкции</w:t>
        </w:r>
      </w:hyperlink>
      <w:r>
        <w:rPr>
          <w:sz w:val="20"/>
        </w:rPr>
        <w:t xml:space="preserve"> Банка России от 30 июня 2021 г. N 204-И "Об открытии, ведении и закрытии банковских счетов, счетов по вкладам (депозитам)".</w:t>
      </w:r>
    </w:p>
    <w:p>
      <w:pPr>
        <w:pStyle w:val="0"/>
        <w:spacing w:before="200" w:line-rule="auto"/>
        <w:ind w:firstLine="540"/>
        <w:jc w:val="both"/>
      </w:pPr>
      <w:r>
        <w:rPr>
          <w:sz w:val="20"/>
        </w:rPr>
        <w:t xml:space="preserve">157. В соответствии с указанной </w:t>
      </w:r>
      <w:hyperlink w:history="0" r:id="rId266" w:tooltip="Инструкция Банка России от 30.06.2021 N 204-И (ред. от 10.04.2023) &quot;Об открытии, ведении и закрытии банковских счетов и счетов по вкладам (депозитам)&quot; (Зарегистрировано в Минюсте России 18.08.2021 N 64669) {КонсультантПлюс}">
        <w:r>
          <w:rPr>
            <w:sz w:val="20"/>
            <w:color w:val="0000ff"/>
          </w:rPr>
          <w:t xml:space="preserve">Инструкцией</w:t>
        </w:r>
      </w:hyperlink>
      <w:r>
        <w:rPr>
          <w:sz w:val="20"/>
        </w:rPr>
        <w:t xml:space="preserve"> и с учетом </w:t>
      </w:r>
      <w:hyperlink w:history="0" w:anchor="P541" w:tooltip="152. В частности, подлежит указанию информация о следующих открытых счетах (в том числе о счетах, к которым не эмитированы (не выпущены) платежные карты):">
        <w:r>
          <w:rPr>
            <w:sz w:val="20"/>
            <w:color w:val="0000ff"/>
          </w:rPr>
          <w:t xml:space="preserve">пунктов 152</w:t>
        </w:r>
      </w:hyperlink>
      <w:r>
        <w:rPr>
          <w:sz w:val="20"/>
        </w:rPr>
        <w:t xml:space="preserve"> и </w:t>
      </w:r>
      <w:hyperlink w:history="0" w:anchor="P554" w:tooltip="153. С учетом целей антикоррупционного законодательства Российской Федерации в данном разделе не указываются следующие счета:">
        <w:r>
          <w:rPr>
            <w:sz w:val="20"/>
            <w:color w:val="0000ff"/>
          </w:rPr>
          <w:t xml:space="preserve">153</w:t>
        </w:r>
      </w:hyperlink>
      <w:r>
        <w:rPr>
          <w:sz w:val="20"/>
        </w:rPr>
        <w:t xml:space="preserve"> настоящих Методических рекомендаций физическим лицам открываются следующие применимые для целей представления Сведений счета:</w:t>
      </w:r>
    </w:p>
    <w:p>
      <w:pPr>
        <w:pStyle w:val="0"/>
        <w:spacing w:before="200" w:line-rule="auto"/>
        <w:ind w:firstLine="540"/>
        <w:jc w:val="both"/>
      </w:pPr>
      <w:r>
        <w:rPr>
          <w:sz w:val="20"/>
        </w:rPr>
        <w:t xml:space="preserve">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pPr>
        <w:pStyle w:val="0"/>
        <w:spacing w:before="200" w:line-rule="auto"/>
        <w:ind w:firstLine="540"/>
        <w:jc w:val="both"/>
      </w:pPr>
      <w:r>
        <w:rPr>
          <w:sz w:val="20"/>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w:history="0" r:id="rId26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Счет такой карты, как правило, текущий;</w:t>
      </w:r>
    </w:p>
    <w:p>
      <w:pPr>
        <w:pStyle w:val="0"/>
        <w:spacing w:before="200" w:line-rule="auto"/>
        <w:ind w:firstLine="540"/>
        <w:jc w:val="both"/>
      </w:pPr>
      <w:r>
        <w:rPr>
          <w:sz w:val="20"/>
        </w:rPr>
        <w:t xml:space="preserve">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pPr>
        <w:pStyle w:val="0"/>
        <w:spacing w:before="200" w:line-rule="auto"/>
        <w:ind w:firstLine="540"/>
        <w:jc w:val="both"/>
      </w:pPr>
      <w:r>
        <w:rPr>
          <w:sz w:val="20"/>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w:history="0" r:id="rId26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как "Депозитный".</w:t>
      </w:r>
    </w:p>
    <w:p>
      <w:pPr>
        <w:pStyle w:val="0"/>
        <w:spacing w:before="200" w:line-rule="auto"/>
        <w:ind w:firstLine="540"/>
        <w:jc w:val="both"/>
      </w:pPr>
      <w:r>
        <w:rPr>
          <w:sz w:val="20"/>
        </w:rPr>
        <w:t xml:space="preserve">158. В </w:t>
      </w:r>
      <w:hyperlink w:history="0" r:id="rId26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"Дата открытия счета" не допускается указание даты выпуска (перевыпуска) платежной карты.</w:t>
      </w:r>
    </w:p>
    <w:p>
      <w:pPr>
        <w:pStyle w:val="0"/>
        <w:spacing w:before="200" w:line-rule="auto"/>
        <w:ind w:firstLine="540"/>
        <w:jc w:val="both"/>
      </w:pPr>
      <w:r>
        <w:rPr>
          <w:sz w:val="20"/>
        </w:rPr>
        <w:t xml:space="preserve">159. </w:t>
      </w:r>
      <w:hyperlink w:history="0" r:id="rId27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Графа</w:t>
        </w:r>
      </w:hyperlink>
      <w:r>
        <w:rPr>
          <w:sz w:val="20"/>
        </w:rPr>
        <w:t xml:space="preserve"> "Остаток на счете (руб.)" заполняется по состоянию на отчетную дату.</w:t>
      </w:r>
    </w:p>
    <w:p>
      <w:pPr>
        <w:pStyle w:val="0"/>
        <w:spacing w:before="200" w:line-rule="auto"/>
        <w:ind w:firstLine="540"/>
        <w:jc w:val="both"/>
      </w:pPr>
      <w:r>
        <w:rPr>
          <w:sz w:val="20"/>
        </w:rPr>
        <w:t xml:space="preserve">В сумму остатка не включаются денежные средства, в отношении которых в соответствии с </w:t>
      </w:r>
      <w:hyperlink w:history="0" r:id="rId271"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пунктом 4 статьи 845</w:t>
        </w:r>
      </w:hyperlink>
      <w:r>
        <w:rPr>
          <w:sz w:val="20"/>
        </w:rPr>
        <w:t xml:space="preserve"> Гражданского кодекса Российской Федерации подтверждена возможность исполнения распоряжения клиента о списании денежных средств.</w:t>
      </w:r>
    </w:p>
    <w:p>
      <w:pPr>
        <w:pStyle w:val="0"/>
        <w:spacing w:before="200" w:line-rule="auto"/>
        <w:ind w:firstLine="540"/>
        <w:jc w:val="both"/>
      </w:pPr>
      <w:r>
        <w:rPr>
          <w:sz w:val="20"/>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w:history="0" r:id="rId27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"Остаток на счете (руб.)" раздела 4 справки в полном объеме.</w:t>
      </w:r>
    </w:p>
    <w:p>
      <w:pPr>
        <w:pStyle w:val="0"/>
        <w:spacing w:before="200" w:line-rule="auto"/>
        <w:ind w:firstLine="540"/>
        <w:jc w:val="both"/>
      </w:pPr>
      <w:r>
        <w:rPr>
          <w:sz w:val="20"/>
        </w:rPr>
        <w:t xml:space="preserve">Для счетов в иностранной валюте остаток указывается в рублях по курсу Банка России на отчетную дату (с учетом положений </w:t>
      </w:r>
      <w:hyperlink w:history="0" w:anchor="P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w:history="0" r:id="rId273" w:tooltip="Указание Банка России от 28.05.2003 N 1283-У (ред. от 27.12.2011) &quot;О порядке установления Банком России учетных цен на аффинированные драгоценные металлы&quot; (Зарегистрировано в Минюсте РФ 19.06.2003 N 4759) {КонсультантПлюс}">
        <w:r>
          <w:rPr>
            <w:sz w:val="20"/>
            <w:color w:val="0000ff"/>
          </w:rPr>
          <w:t xml:space="preserve">Указанием</w:t>
        </w:r>
      </w:hyperlink>
      <w:r>
        <w:rPr>
          <w:sz w:val="20"/>
        </w:rPr>
        <w:t xml:space="preserve"> Банка России от 28 мая 2003 г. N 1283-У "О порядке установления Банком России учетных цен на аффинированные драгоценные металлы".</w:t>
      </w:r>
    </w:p>
    <w:p>
      <w:pPr>
        <w:pStyle w:val="0"/>
        <w:spacing w:before="200" w:line-rule="auto"/>
        <w:ind w:firstLine="540"/>
        <w:jc w:val="both"/>
      </w:pPr>
      <w:r>
        <w:rPr>
          <w:sz w:val="20"/>
        </w:rPr>
        <w:t xml:space="preserve">160. </w:t>
      </w:r>
      <w:hyperlink w:history="0" r:id="rId27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Графа</w:t>
        </w:r>
      </w:hyperlink>
      <w:r>
        <w:rPr>
          <w:sz w:val="20"/>
        </w:rPr>
        <w:t xml:space="preserve"> "Сумма поступивших на счет денежных средств (руб.)" заполняется только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несовершеннолетних детей за отчетный период и два предшествующих ему года. Например, при представлении Сведений в 2024 году </w:t>
      </w:r>
      <w:hyperlink w:history="0" r:id="rId27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графа</w:t>
        </w:r>
      </w:hyperlink>
      <w:r>
        <w:rPr>
          <w:sz w:val="20"/>
        </w:rPr>
        <w:t xml:space="preserve"> "Сумма поступивших на счет денежных средств (руб.)" заполняется в отношении всех счетов, указанных в </w:t>
      </w:r>
      <w:hyperlink w:history="0" r:id="rId27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конкретного лица (т.е. открытых по состоянию на отчетную дату), в случае, если сумма денежных средств, поступивших на такие счета в 2023 году, превышает общий доход служащего (работника), его супруги (супруга) и несовершеннолетних детей за 2021, 2022 и 2023 годы (в таком случае в отношении каждого счета указывается сумма поступивших на него в 2023 году денежных средств).</w:t>
      </w:r>
    </w:p>
    <w:p>
      <w:pPr>
        <w:pStyle w:val="0"/>
        <w:spacing w:before="200" w:line-rule="auto"/>
        <w:ind w:firstLine="540"/>
        <w:jc w:val="both"/>
      </w:pPr>
      <w:r>
        <w:rPr>
          <w:sz w:val="20"/>
        </w:rPr>
        <w:t xml:space="preserve">По счету в драгоценных металлах данная </w:t>
      </w:r>
      <w:hyperlink w:history="0" r:id="rId27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графа</w:t>
        </w:r>
      </w:hyperlink>
      <w:r>
        <w:rPr>
          <w:sz w:val="20"/>
        </w:rPr>
        <w:t xml:space="preserve"> не заполняется.</w:t>
      </w:r>
    </w:p>
    <w:p>
      <w:pPr>
        <w:pStyle w:val="0"/>
        <w:spacing w:before="200" w:line-rule="auto"/>
        <w:ind w:firstLine="540"/>
        <w:jc w:val="both"/>
      </w:pPr>
      <w:r>
        <w:rPr>
          <w:sz w:val="20"/>
        </w:rPr>
        <w:t xml:space="preserve">В случае если общая сумма денежных средств, поступивших на счета за отчетный период, не превышает общий доход служащего (работника), его супруга (супруги) и несовершеннолетних детей за отчетный период и два предшествующих года, то в СПО "Справки БК" необходимо подтвердить данное обстоятельство путем проставления "флажка" [V] 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w:t>
      </w:r>
    </w:p>
    <w:p>
      <w:pPr>
        <w:pStyle w:val="0"/>
        <w:spacing w:before="200" w:line-rule="auto"/>
        <w:ind w:firstLine="540"/>
        <w:jc w:val="both"/>
      </w:pPr>
      <w:r>
        <w:rPr>
          <w:sz w:val="20"/>
        </w:rPr>
        <w:t xml:space="preserve">При расчете общего дохода служащего (работника), его супруги (супруга) и несовершеннолетних детей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 Если ребенок достиг совершеннолетия в отчетной периоде, его доходы за отчетный период и два предшествующих ему года также не учитываются.</w:t>
      </w:r>
    </w:p>
    <w:p>
      <w:pPr>
        <w:pStyle w:val="0"/>
        <w:spacing w:before="200" w:line-rule="auto"/>
        <w:ind w:firstLine="540"/>
        <w:jc w:val="both"/>
      </w:pPr>
      <w:r>
        <w:rPr>
          <w:sz w:val="20"/>
        </w:rPr>
        <w:t xml:space="preserve">Лица, претендующие на замещение отдельных должностей, в случае наличия оснований также заполняют данную </w:t>
      </w:r>
      <w:hyperlink w:history="0" r:id="rId27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графу</w:t>
        </w:r>
      </w:hyperlink>
      <w:r>
        <w:rPr>
          <w:sz w:val="20"/>
        </w:rPr>
        <w:t xml:space="preserve">.</w:t>
      </w:r>
    </w:p>
    <w:p>
      <w:pPr>
        <w:pStyle w:val="0"/>
        <w:spacing w:before="200" w:line-rule="auto"/>
        <w:ind w:firstLine="540"/>
        <w:jc w:val="both"/>
      </w:pPr>
      <w:r>
        <w:rPr>
          <w:sz w:val="20"/>
        </w:rPr>
        <w:t xml:space="preserve">Для лиц, указанных в </w:t>
      </w:r>
      <w:hyperlink w:history="0" w:anchor="P37" w:tooltip="2. Сведения о доходах, об имуществе и обязательствах имущественного характера представляются гражданином, претендующим на замещение (далее - гражданин):">
        <w:r>
          <w:rPr>
            <w:sz w:val="20"/>
            <w:color w:val="0000ff"/>
          </w:rPr>
          <w:t xml:space="preserve">пункте 2</w:t>
        </w:r>
      </w:hyperlink>
      <w:r>
        <w:rPr>
          <w:sz w:val="20"/>
        </w:rP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w:history="0" r:id="rId27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графа</w:t>
        </w:r>
      </w:hyperlink>
      <w:r>
        <w:rPr>
          <w:sz w:val="20"/>
        </w:rPr>
        <w:t xml:space="preserve"> "Сумма поступивших на счет денежных средств (руб.)" часто подлежит заполнению в связи с незначительными доходами в предыдущие годы.</w:t>
      </w:r>
    </w:p>
    <w:p>
      <w:pPr>
        <w:pStyle w:val="0"/>
        <w:spacing w:before="200" w:line-rule="auto"/>
        <w:ind w:firstLine="540"/>
        <w:jc w:val="both"/>
      </w:pPr>
      <w:r>
        <w:rPr>
          <w:sz w:val="20"/>
        </w:rPr>
        <w:t xml:space="preserve">Для счетов в иностранной валюте сумма указывается в рублях по курсу Банка России на отчетную дату (с учетом положений </w:t>
      </w:r>
      <w:hyperlink w:history="0" w:anchor="P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161. Отдельные аспекты заполнения </w:t>
      </w:r>
      <w:hyperlink w:history="0" r:id="rId28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 "Сумма поступивших на счет денежных средств (руб.)":</w:t>
      </w:r>
    </w:p>
    <w:p>
      <w:pPr>
        <w:pStyle w:val="0"/>
        <w:spacing w:before="200" w:line-rule="auto"/>
        <w:ind w:firstLine="540"/>
        <w:jc w:val="both"/>
      </w:pPr>
      <w:r>
        <w:rPr>
          <w:sz w:val="20"/>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pPr>
        <w:pStyle w:val="0"/>
        <w:spacing w:before="200" w:line-rule="auto"/>
        <w:ind w:firstLine="540"/>
        <w:jc w:val="both"/>
      </w:pPr>
      <w:r>
        <w:rPr>
          <w:sz w:val="20"/>
        </w:rPr>
        <w:t xml:space="preserve">2) сумма денежных средств, поступивших на закрытые по состоянию на отчетную дату счета, не учитывается;</w:t>
      </w:r>
    </w:p>
    <w:p>
      <w:pPr>
        <w:pStyle w:val="0"/>
        <w:spacing w:before="200" w:line-rule="auto"/>
        <w:ind w:firstLine="540"/>
        <w:jc w:val="both"/>
      </w:pPr>
      <w:r>
        <w:rPr>
          <w:sz w:val="20"/>
        </w:rPr>
        <w:t xml:space="preserve">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супруга (супруги)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pPr>
        <w:pStyle w:val="0"/>
        <w:spacing w:before="200" w:line-rule="auto"/>
        <w:ind w:firstLine="540"/>
        <w:jc w:val="both"/>
      </w:pPr>
      <w:r>
        <w:rPr>
          <w:sz w:val="20"/>
        </w:rPr>
        <w:t xml:space="preserve">4) денежные средства, поступившие на счет, могут не являться доходом в целях представления Сведений, как следствие, не указываться в </w:t>
      </w:r>
      <w:hyperlink w:history="0" r:id="rId28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1</w:t>
        </w:r>
      </w:hyperlink>
      <w:r>
        <w:rPr>
          <w:sz w:val="20"/>
        </w:rPr>
        <w:t xml:space="preserve"> справки, но при этом учитываться для целей </w:t>
      </w:r>
      <w:hyperlink w:history="0" r:id="rId28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 4</w:t>
        </w:r>
      </w:hyperlink>
      <w:r>
        <w:rPr>
          <w:sz w:val="20"/>
        </w:rPr>
        <w:t xml:space="preserve">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pPr>
        <w:pStyle w:val="0"/>
        <w:spacing w:before="200" w:line-rule="auto"/>
        <w:ind w:firstLine="540"/>
        <w:jc w:val="both"/>
      </w:pPr>
      <w:r>
        <w:rPr>
          <w:sz w:val="20"/>
        </w:rPr>
        <w:t xml:space="preserve">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pPr>
        <w:pStyle w:val="0"/>
        <w:spacing w:before="200" w:line-rule="auto"/>
        <w:ind w:firstLine="540"/>
        <w:jc w:val="both"/>
      </w:pPr>
      <w:r>
        <w:rPr>
          <w:sz w:val="20"/>
        </w:rPr>
        <w:t xml:space="preserve">Перечень возможных на практике ситуаций (таблица N 5):</w:t>
      </w:r>
    </w:p>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39"/>
      </w:tblGrid>
      <w:tr>
        <w:tc>
          <w:tcPr>
            <w:tcW w:w="9039" w:type="dxa"/>
            <w:tcBorders>
              <w:left w:val="single" w:sz="4"/>
              <w:right w:val="single" w:sz="4"/>
            </w:tcBorders>
          </w:tcPr>
          <w:p>
            <w:pPr>
              <w:pStyle w:val="0"/>
              <w:jc w:val="both"/>
            </w:pPr>
            <w:r>
              <w:rPr>
                <w:sz w:val="20"/>
              </w:rPr>
              <w:t xml:space="preserve">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pPr>
              <w:pStyle w:val="0"/>
              <w:jc w:val="both"/>
            </w:pPr>
            <w:r>
              <w:rPr>
                <w:sz w:val="20"/>
              </w:rPr>
              <w:t xml:space="preserve">В течение отчетного периода на счета служащего (работника) поступило 300 тыс. руб., а на счета его супруги - 500 тыс. руб.</w:t>
            </w:r>
          </w:p>
          <w:p>
            <w:pPr>
              <w:pStyle w:val="0"/>
              <w:jc w:val="both"/>
            </w:pPr>
            <w:r>
              <w:rPr>
                <w:sz w:val="20"/>
              </w:rPr>
              <w:t xml:space="preserve">Доход служащего (работника), его супруги и несовершеннолетних детей за отчетный период и два предшествующих года (далее в таблице N 5 - совокупный доход) составляет 6000 тыс. руб.</w:t>
            </w:r>
          </w:p>
          <w:p>
            <w:pPr>
              <w:pStyle w:val="0"/>
              <w:jc w:val="both"/>
            </w:pPr>
            <w:r>
              <w:rPr>
                <w:sz w:val="20"/>
              </w:rPr>
              <w:t xml:space="preserve">В данном примере:</w:t>
            </w:r>
          </w:p>
          <w:p>
            <w:pPr>
              <w:pStyle w:val="0"/>
              <w:jc w:val="both"/>
            </w:pPr>
            <w:r>
              <w:rPr>
                <w:sz w:val="20"/>
              </w:rPr>
              <w:t xml:space="preserve">1) </w:t>
            </w:r>
            <w:hyperlink w:history="0" r:id="rId28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графа</w:t>
              </w:r>
            </w:hyperlink>
            <w:r>
              <w:rPr>
                <w:sz w:val="20"/>
              </w:rPr>
              <w:t xml:space="preserve"> "Сумма поступивших на счет денежных средств (руб.)" раздела 4 справки в отношении служащего (работника) не заполняется;</w:t>
            </w:r>
          </w:p>
          <w:p>
            <w:pPr>
              <w:pStyle w:val="0"/>
              <w:jc w:val="both"/>
            </w:pPr>
            <w:r>
              <w:rPr>
                <w:sz w:val="20"/>
              </w:rPr>
              <w:t xml:space="preserve">2) </w:t>
            </w:r>
            <w:hyperlink w:history="0" r:id="rId28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графа</w:t>
              </w:r>
            </w:hyperlink>
            <w:r>
              <w:rPr>
                <w:sz w:val="20"/>
              </w:rPr>
              <w:t xml:space="preserve"> "Сумма поступивших на счет денежных средств (руб.)" раздела 4 справки в отношении его супруги также не заполняется.</w:t>
            </w:r>
          </w:p>
        </w:tc>
      </w:tr>
      <w:tr>
        <w:tc>
          <w:tcPr>
            <w:tcW w:w="9039" w:type="dxa"/>
            <w:tcBorders>
              <w:left w:val="single" w:sz="4"/>
              <w:right w:val="single" w:sz="4"/>
            </w:tcBorders>
          </w:tcPr>
          <w:p>
            <w:pPr>
              <w:pStyle w:val="0"/>
              <w:jc w:val="both"/>
            </w:pPr>
            <w:r>
              <w:rPr>
                <w:sz w:val="20"/>
              </w:rPr>
              <w:t xml:space="preserve">По состоянию на отчетную дату и в течение отчетного периода у служащего (работника) открыто три счета.</w:t>
            </w:r>
          </w:p>
          <w:p>
            <w:pPr>
              <w:pStyle w:val="0"/>
              <w:jc w:val="both"/>
            </w:pPr>
            <w:r>
              <w:rPr>
                <w:sz w:val="20"/>
              </w:rPr>
              <w:t xml:space="preserve">В течение отчетного периода на счет "А" поступило 500 тыс. руб. Впоследствии со счета "А" на счета "Б" и "В" переведены денежные средства: 300 тыс. руб. и 100 тыс. руб. соответственно.</w:t>
            </w:r>
          </w:p>
          <w:p>
            <w:pPr>
              <w:pStyle w:val="0"/>
              <w:jc w:val="both"/>
            </w:pPr>
            <w:r>
              <w:rPr>
                <w:sz w:val="20"/>
              </w:rPr>
              <w:t xml:space="preserve">В данном примере:</w:t>
            </w:r>
          </w:p>
          <w:p>
            <w:pPr>
              <w:pStyle w:val="0"/>
              <w:jc w:val="both"/>
            </w:pPr>
            <w:r>
              <w:rPr>
                <w:sz w:val="20"/>
              </w:rPr>
              <w:t xml:space="preserve">1) перераспределение (оборот) денежных средств по счетам составил 900 тыс. руб.;</w:t>
            </w:r>
          </w:p>
          <w:p>
            <w:pPr>
              <w:pStyle w:val="0"/>
              <w:jc w:val="both"/>
            </w:pPr>
            <w:r>
              <w:rPr>
                <w:sz w:val="20"/>
              </w:rPr>
              <w:t xml:space="preserve">2) сумма денежных средств, поступивших на счета, - 500 тыс. руб.</w:t>
            </w:r>
          </w:p>
          <w:p>
            <w:pPr>
              <w:pStyle w:val="0"/>
              <w:jc w:val="both"/>
            </w:pPr>
            <w:r>
              <w:rPr>
                <w:sz w:val="20"/>
              </w:rPr>
              <w:t xml:space="preserve">Таким образом, для целей определения необходимости заполнения </w:t>
            </w:r>
            <w:hyperlink w:history="0" r:id="rId28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 "Сумма поступивших на счет денежных средств (руб.)" раздела 4 справки необходимо сравнивать совокупный доход с 500 тыс. руб.</w:t>
            </w:r>
          </w:p>
        </w:tc>
      </w:tr>
      <w:tr>
        <w:tc>
          <w:tcPr>
            <w:tcW w:w="9039" w:type="dxa"/>
            <w:tcBorders>
              <w:left w:val="single" w:sz="4"/>
              <w:right w:val="single" w:sz="4"/>
            </w:tcBorders>
          </w:tcPr>
          <w:p>
            <w:pPr>
              <w:pStyle w:val="0"/>
              <w:jc w:val="both"/>
            </w:pPr>
            <w:r>
              <w:rPr>
                <w:sz w:val="20"/>
              </w:rPr>
              <w:t xml:space="preserve">По состоянию на отчетную дату и в течение отчетного периода у служащего (работника) открыто два счета.</w:t>
            </w:r>
          </w:p>
          <w:p>
            <w:pPr>
              <w:pStyle w:val="0"/>
              <w:jc w:val="both"/>
            </w:pPr>
            <w:r>
              <w:rPr>
                <w:sz w:val="20"/>
              </w:rPr>
              <w:t xml:space="preserve">В течение отчетного периода на счет "А" поступило 400 тыс. руб.; на счет "Б" - 300 тыс. руб.</w:t>
            </w:r>
          </w:p>
          <w:p>
            <w:pPr>
              <w:pStyle w:val="0"/>
              <w:jc w:val="both"/>
            </w:pPr>
            <w:r>
              <w:rPr>
                <w:sz w:val="20"/>
              </w:rPr>
              <w:t xml:space="preserve">Сначала со счета "А" на счет "Б" переведены 200 тыс. руб., потом со счета "Б" на счет "А" - 500 тыс. руб.</w:t>
            </w:r>
          </w:p>
          <w:p>
            <w:pPr>
              <w:pStyle w:val="0"/>
              <w:jc w:val="both"/>
            </w:pPr>
            <w:r>
              <w:rPr>
                <w:sz w:val="20"/>
              </w:rPr>
              <w:t xml:space="preserve">В данном примере:</w:t>
            </w:r>
          </w:p>
          <w:p>
            <w:pPr>
              <w:pStyle w:val="0"/>
              <w:jc w:val="both"/>
            </w:pPr>
            <w:r>
              <w:rPr>
                <w:sz w:val="20"/>
              </w:rPr>
              <w:t xml:space="preserve">1) перераспределение (оборот) денежных средств по счетам составил 1400 тыс. руб.;</w:t>
            </w:r>
          </w:p>
          <w:p>
            <w:pPr>
              <w:pStyle w:val="0"/>
              <w:jc w:val="both"/>
            </w:pPr>
            <w:r>
              <w:rPr>
                <w:sz w:val="20"/>
              </w:rPr>
              <w:t xml:space="preserve">2) сумма денежных средств, поступивших на счета, - 700 тыс. руб.</w:t>
            </w:r>
          </w:p>
          <w:p>
            <w:pPr>
              <w:pStyle w:val="0"/>
              <w:jc w:val="both"/>
            </w:pPr>
            <w:r>
              <w:rPr>
                <w:sz w:val="20"/>
              </w:rPr>
              <w:t xml:space="preserve">Таким образом, для целей определения необходимости заполнения </w:t>
            </w:r>
            <w:hyperlink w:history="0" r:id="rId28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 "Сумма поступивших на счет денежных средств (руб.)" раздела 4 справки необходимо сравнивать совокупный доход с 700 тыс. руб.</w:t>
            </w:r>
          </w:p>
        </w:tc>
      </w:tr>
      <w:tr>
        <w:tc>
          <w:tcPr>
            <w:tcW w:w="9039" w:type="dxa"/>
            <w:tcBorders>
              <w:left w:val="single" w:sz="4"/>
              <w:right w:val="single" w:sz="4"/>
            </w:tcBorders>
          </w:tcPr>
          <w:p>
            <w:pPr>
              <w:pStyle w:val="0"/>
              <w:jc w:val="both"/>
            </w:pPr>
            <w:r>
              <w:rPr>
                <w:sz w:val="20"/>
              </w:rPr>
              <w:t xml:space="preserve">По состоянию на отчетную дату и в течение отчетного периода у служащего (работника) открыто два счета.</w:t>
            </w:r>
          </w:p>
          <w:p>
            <w:pPr>
              <w:pStyle w:val="0"/>
              <w:jc w:val="both"/>
            </w:pPr>
            <w:r>
              <w:rPr>
                <w:sz w:val="20"/>
              </w:rPr>
              <w:t xml:space="preserve">В течение отчетного периода на счет "А" поступило 500 тыс. руб. Впоследствии со счета "А" в банкомате сняли 500 тыс. руб. и зачислили их также с помощью банкомата на счет "Б".</w:t>
            </w:r>
          </w:p>
          <w:p>
            <w:pPr>
              <w:pStyle w:val="0"/>
              <w:jc w:val="both"/>
            </w:pPr>
            <w:r>
              <w:rPr>
                <w:sz w:val="20"/>
              </w:rPr>
              <w:t xml:space="preserve">В данном примере:</w:t>
            </w:r>
          </w:p>
          <w:p>
            <w:pPr>
              <w:pStyle w:val="0"/>
              <w:jc w:val="both"/>
            </w:pPr>
            <w:r>
              <w:rPr>
                <w:sz w:val="20"/>
              </w:rPr>
              <w:t xml:space="preserve">1) перераспределение (оборот) денежных средств по счетам составил 1000 тыс. руб.;</w:t>
            </w:r>
          </w:p>
          <w:p>
            <w:pPr>
              <w:pStyle w:val="0"/>
              <w:jc w:val="both"/>
            </w:pPr>
            <w:r>
              <w:rPr>
                <w:sz w:val="20"/>
              </w:rPr>
              <w:t xml:space="preserve">2) сумма денежных средств, поступивших на счета, - 1000 тыс. руб.</w:t>
            </w:r>
          </w:p>
          <w:p>
            <w:pPr>
              <w:pStyle w:val="0"/>
              <w:jc w:val="both"/>
            </w:pPr>
            <w:r>
              <w:rPr>
                <w:sz w:val="20"/>
              </w:rPr>
              <w:t xml:space="preserve">Таким образом, для целей определения необходимости заполнения </w:t>
            </w:r>
            <w:hyperlink w:history="0" r:id="rId28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 "Сумма поступивших на счет денежных средств (руб.)" раздела 4 справки необходимо сравнивать совокупный доход с 1000 тыс. руб.</w:t>
            </w:r>
          </w:p>
        </w:tc>
      </w:tr>
    </w:tbl>
    <w:p>
      <w:pPr>
        <w:pStyle w:val="0"/>
        <w:jc w:val="both"/>
      </w:pPr>
      <w:r>
        <w:rPr>
          <w:sz w:val="20"/>
        </w:rPr>
      </w:r>
    </w:p>
    <w:p>
      <w:pPr>
        <w:pStyle w:val="0"/>
        <w:ind w:firstLine="540"/>
        <w:jc w:val="both"/>
      </w:pPr>
      <w:r>
        <w:rPr>
          <w:sz w:val="20"/>
        </w:rPr>
        <w:t xml:space="preserve">162. Заполнение </w:t>
      </w:r>
      <w:hyperlink w:history="0" r:id="rId28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 "Сумма поступивших на счет денежных средств (руб.)" при отсутствии оснований не является нарушением.</w:t>
      </w:r>
    </w:p>
    <w:p>
      <w:pPr>
        <w:pStyle w:val="0"/>
        <w:jc w:val="both"/>
      </w:pPr>
      <w:r>
        <w:rPr>
          <w:sz w:val="20"/>
        </w:rPr>
      </w:r>
    </w:p>
    <w:p>
      <w:pPr>
        <w:pStyle w:val="2"/>
        <w:outlineLvl w:val="2"/>
        <w:ind w:firstLine="540"/>
        <w:jc w:val="both"/>
      </w:pPr>
      <w:r>
        <w:rPr>
          <w:sz w:val="20"/>
        </w:rPr>
        <w:t xml:space="preserve">Совместный счет</w:t>
      </w:r>
    </w:p>
    <w:p>
      <w:pPr>
        <w:pStyle w:val="0"/>
        <w:spacing w:before="200" w:line-rule="auto"/>
        <w:ind w:firstLine="540"/>
        <w:jc w:val="both"/>
      </w:pPr>
      <w:r>
        <w:rPr>
          <w:sz w:val="20"/>
        </w:rPr>
        <w:t xml:space="preserve">163.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pPr>
        <w:pStyle w:val="0"/>
        <w:spacing w:before="200" w:line-rule="auto"/>
        <w:ind w:firstLine="540"/>
        <w:jc w:val="both"/>
      </w:pPr>
      <w:r>
        <w:rPr>
          <w:sz w:val="20"/>
        </w:rPr>
        <w:t xml:space="preserve">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pPr>
        <w:pStyle w:val="0"/>
        <w:spacing w:before="200" w:line-rule="auto"/>
        <w:ind w:firstLine="540"/>
        <w:jc w:val="both"/>
      </w:pPr>
      <w:r>
        <w:rPr>
          <w:sz w:val="20"/>
        </w:rPr>
        <w:t xml:space="preserve">В данном случае в каждой подаваемой справке представляется идентичная информация о таком счете.</w:t>
      </w:r>
    </w:p>
    <w:p>
      <w:pPr>
        <w:pStyle w:val="0"/>
        <w:jc w:val="both"/>
      </w:pPr>
      <w:r>
        <w:rPr>
          <w:sz w:val="20"/>
        </w:rPr>
      </w:r>
    </w:p>
    <w:p>
      <w:pPr>
        <w:pStyle w:val="2"/>
        <w:outlineLvl w:val="2"/>
        <w:ind w:firstLine="540"/>
        <w:jc w:val="both"/>
      </w:pPr>
      <w:r>
        <w:rPr>
          <w:sz w:val="20"/>
        </w:rPr>
        <w:t xml:space="preserve">Кредитные карты, карты с овердрафтом, электронные средства платежа</w:t>
      </w:r>
    </w:p>
    <w:p>
      <w:pPr>
        <w:pStyle w:val="0"/>
        <w:spacing w:before="200" w:line-rule="auto"/>
        <w:ind w:firstLine="540"/>
        <w:jc w:val="both"/>
      </w:pPr>
      <w:r>
        <w:rPr>
          <w:sz w:val="20"/>
        </w:rPr>
        <w:t xml:space="preserve">164. Банк (иная кредитная организация) выпускает следующие виды карт (таблица N 6):</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9"/>
        <w:gridCol w:w="5926"/>
      </w:tblGrid>
      <w:tr>
        <w:tc>
          <w:tcPr>
            <w:tcW w:w="3119" w:type="dxa"/>
          </w:tcPr>
          <w:p>
            <w:pPr>
              <w:pStyle w:val="0"/>
              <w:jc w:val="both"/>
            </w:pPr>
            <w:r>
              <w:rPr>
                <w:sz w:val="20"/>
              </w:rPr>
              <w:t xml:space="preserve">Расчетная (дебетовая)</w:t>
            </w:r>
          </w:p>
        </w:tc>
        <w:tc>
          <w:tcPr>
            <w:tcW w:w="5926" w:type="dxa"/>
          </w:tcPr>
          <w:p>
            <w:pPr>
              <w:pStyle w:val="0"/>
              <w:jc w:val="both"/>
            </w:pPr>
            <w:r>
              <w:rPr>
                <w:sz w:val="20"/>
              </w:rPr>
              <w:t xml:space="preserve">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tc>
          <w:tcPr>
            <w:tcW w:w="3119" w:type="dxa"/>
          </w:tcPr>
          <w:p>
            <w:pPr>
              <w:pStyle w:val="0"/>
              <w:jc w:val="both"/>
            </w:pPr>
            <w:r>
              <w:rPr>
                <w:sz w:val="20"/>
              </w:rPr>
              <w:t xml:space="preserve">Кредитная</w:t>
            </w:r>
          </w:p>
        </w:tc>
        <w:tc>
          <w:tcPr>
            <w:tcW w:w="5926" w:type="dxa"/>
          </w:tcPr>
          <w:p>
            <w:pPr>
              <w:pStyle w:val="0"/>
              <w:jc w:val="both"/>
            </w:pPr>
            <w:r>
              <w:rPr>
                <w:sz w:val="20"/>
              </w:rPr>
              <w:t xml:space="preserve">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pPr>
        <w:pStyle w:val="0"/>
        <w:jc w:val="both"/>
      </w:pPr>
      <w:r>
        <w:rPr>
          <w:sz w:val="20"/>
        </w:rPr>
      </w:r>
    </w:p>
    <w:p>
      <w:pPr>
        <w:pStyle w:val="0"/>
        <w:ind w:firstLine="540"/>
        <w:jc w:val="both"/>
      </w:pPr>
      <w:r>
        <w:rPr>
          <w:sz w:val="20"/>
        </w:rPr>
        <w:t xml:space="preserve">165. Расчетная (дебетовая) и, как правило, кредитные карты предполагают открытие и ведение банком (иной кредитной организацией) счета.</w:t>
      </w:r>
    </w:p>
    <w:p>
      <w:pPr>
        <w:pStyle w:val="0"/>
        <w:spacing w:before="200" w:line-rule="auto"/>
        <w:ind w:firstLine="540"/>
        <w:jc w:val="both"/>
      </w:pPr>
      <w:r>
        <w:rPr>
          <w:sz w:val="20"/>
        </w:rPr>
        <w:t xml:space="preserve">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w:t>
      </w:r>
      <w:hyperlink w:history="0" r:id="rId28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справки.</w:t>
      </w:r>
    </w:p>
    <w:p>
      <w:pPr>
        <w:pStyle w:val="0"/>
        <w:spacing w:before="200" w:line-rule="auto"/>
        <w:ind w:firstLine="540"/>
        <w:jc w:val="both"/>
      </w:pPr>
      <w:r>
        <w:rPr>
          <w:sz w:val="20"/>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r>
        <w:rPr>
          <w:sz w:val="20"/>
        </w:rPr>
        <w:t xml:space="preserve">https://www.nalog.ru/rn77/related_activities/accounting/bank_account/</w:t>
      </w:r>
      <w:r>
        <w:rPr>
          <w:sz w:val="20"/>
        </w:rPr>
        <w:t xml:space="preserve">.</w:t>
      </w:r>
    </w:p>
    <w:p>
      <w:pPr>
        <w:pStyle w:val="0"/>
        <w:spacing w:before="200" w:line-rule="auto"/>
        <w:ind w:firstLine="540"/>
        <w:jc w:val="both"/>
      </w:pPr>
      <w:r>
        <w:rPr>
          <w:sz w:val="20"/>
        </w:rPr>
        <w:t xml:space="preserve">В случае наличия различий в информации о банковских счетах, представленных ФНС России и в соответствии с </w:t>
      </w:r>
      <w:hyperlink w:history="0" r:id="rId290"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Указанием</w:t>
        </w:r>
      </w:hyperlink>
      <w:r>
        <w:rPr>
          <w:sz w:val="20"/>
        </w:rPr>
        <w:t xml:space="preserve"> Банка России N 5798-У банком (иной кредитной организацией), приоритет рекомендуется отдавать информации, полученной в рамках </w:t>
      </w:r>
      <w:hyperlink w:history="0" r:id="rId291"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w:t>
      </w:r>
    </w:p>
    <w:p>
      <w:pPr>
        <w:pStyle w:val="0"/>
        <w:spacing w:before="200" w:line-rule="auto"/>
        <w:ind w:firstLine="540"/>
        <w:jc w:val="both"/>
      </w:pPr>
      <w:r>
        <w:rPr>
          <w:sz w:val="20"/>
        </w:rPr>
        <w:t xml:space="preserve">166.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w:history="0" r:id="rId29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w:t>
      </w:r>
    </w:p>
    <w:p>
      <w:pPr>
        <w:pStyle w:val="0"/>
        <w:spacing w:before="200" w:line-rule="auto"/>
        <w:ind w:firstLine="540"/>
        <w:jc w:val="both"/>
      </w:pPr>
      <w:r>
        <w:rPr>
          <w:sz w:val="20"/>
        </w:rPr>
        <w:t xml:space="preserve">167.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w:history="0" r:id="rId29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w:t>
      </w:r>
    </w:p>
    <w:p>
      <w:pPr>
        <w:pStyle w:val="0"/>
        <w:spacing w:before="200" w:line-rule="auto"/>
        <w:ind w:firstLine="540"/>
        <w:jc w:val="both"/>
      </w:pPr>
      <w:r>
        <w:rPr>
          <w:sz w:val="20"/>
        </w:rPr>
        <w:t xml:space="preserve">168.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pPr>
        <w:pStyle w:val="0"/>
        <w:spacing w:before="200" w:line-rule="auto"/>
        <w:ind w:firstLine="540"/>
        <w:jc w:val="both"/>
      </w:pPr>
      <w:r>
        <w:rPr>
          <w:sz w:val="20"/>
        </w:rPr>
        <w:t xml:space="preserve">169.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pPr>
        <w:pStyle w:val="0"/>
        <w:spacing w:before="200" w:line-rule="auto"/>
        <w:ind w:firstLine="540"/>
        <w:jc w:val="both"/>
      </w:pPr>
      <w:r>
        <w:rPr>
          <w:sz w:val="20"/>
        </w:rPr>
        <w:t xml:space="preserve">170. Следует обращать внимание, что основанием закрытия счета является прекращение договора счета в установленном порядке или соглашение сторон.</w:t>
      </w:r>
    </w:p>
    <w:p>
      <w:pPr>
        <w:pStyle w:val="0"/>
        <w:spacing w:before="200" w:line-rule="auto"/>
        <w:ind w:firstLine="540"/>
        <w:jc w:val="both"/>
      </w:pPr>
      <w:r>
        <w:rPr>
          <w:sz w:val="20"/>
        </w:rPr>
        <w:t xml:space="preserve">171. В данном </w:t>
      </w:r>
      <w:hyperlink w:history="0" r:id="rId29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не указываются:</w:t>
      </w:r>
    </w:p>
    <w:p>
      <w:pPr>
        <w:pStyle w:val="0"/>
        <w:spacing w:before="200" w:line-rule="auto"/>
        <w:ind w:firstLine="540"/>
        <w:jc w:val="both"/>
      </w:pPr>
      <w:r>
        <w:rPr>
          <w:sz w:val="20"/>
        </w:rPr>
        <w:t xml:space="preserve">1)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w:t>
      </w:r>
    </w:p>
    <w:p>
      <w:pPr>
        <w:pStyle w:val="0"/>
        <w:spacing w:before="200" w:line-rule="auto"/>
        <w:ind w:firstLine="540"/>
        <w:jc w:val="both"/>
      </w:pPr>
      <w:r>
        <w:rPr>
          <w:sz w:val="20"/>
        </w:rPr>
        <w:t xml:space="preserve">2) сведения об участии в программе государственного софинансирования пенсии, действующей в соответствии с Федеральным </w:t>
      </w:r>
      <w:hyperlink w:history="0" r:id="rId295" w:tooltip="Федеральный закон от 30.04.2008 N 56-ФЗ (ред. от 10.07.2023) &quot;О дополнительных страховых взносах на накопительную пенсию и государственной поддержке формирования пенсионных накоплений&quot; {КонсультантПлюс}">
        <w:r>
          <w:rPr>
            <w:sz w:val="20"/>
            <w:color w:val="0000ff"/>
          </w:rPr>
          <w:t xml:space="preserve">законом</w:t>
        </w:r>
      </w:hyperlink>
      <w:r>
        <w:rPr>
          <w:sz w:val="20"/>
        </w:rP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w:t>
      </w:r>
    </w:p>
    <w:p>
      <w:pPr>
        <w:pStyle w:val="0"/>
        <w:spacing w:before="200" w:line-rule="auto"/>
        <w:ind w:firstLine="540"/>
        <w:jc w:val="both"/>
      </w:pPr>
      <w:r>
        <w:rPr>
          <w:sz w:val="20"/>
        </w:rPr>
        <w:t xml:space="preserve">3) электронные средства платежа, в том числе "электронные кошельки" (например, "ЮMoney", "Qiwi кошелек"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pPr>
        <w:pStyle w:val="0"/>
        <w:spacing w:before="200" w:line-rule="auto"/>
        <w:ind w:firstLine="540"/>
        <w:jc w:val="both"/>
      </w:pPr>
      <w:r>
        <w:rPr>
          <w:sz w:val="20"/>
        </w:rPr>
        <w:t xml:space="preserve">Под электронным средством платежа в соответствии с </w:t>
      </w:r>
      <w:hyperlink w:history="0" r:id="rId296" w:tooltip="Федеральный закон от 27.06.2011 N 161-ФЗ (ред. от 24.07.2023) &quot;О национальной платежной системе&quot; (с изм. и доп., вступ. в силу с 21.10.2023) {КонсультантПлюс}">
        <w:r>
          <w:rPr>
            <w:sz w:val="20"/>
            <w:color w:val="0000ff"/>
          </w:rPr>
          <w:t xml:space="preserve">пунктом 19 статьи 3</w:t>
        </w:r>
      </w:hyperlink>
      <w:r>
        <w:rPr>
          <w:sz w:val="20"/>
        </w:rPr>
        <w:t xml:space="preserve"> Федерального закона от 27 июня 2011 г. N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pPr>
        <w:pStyle w:val="0"/>
        <w:jc w:val="both"/>
      </w:pPr>
      <w:r>
        <w:rPr>
          <w:sz w:val="20"/>
        </w:rPr>
      </w:r>
    </w:p>
    <w:p>
      <w:pPr>
        <w:pStyle w:val="2"/>
        <w:outlineLvl w:val="2"/>
        <w:ind w:firstLine="540"/>
        <w:jc w:val="both"/>
      </w:pPr>
      <w:r>
        <w:rPr>
          <w:sz w:val="20"/>
        </w:rPr>
        <w:t xml:space="preserve">Отзыв лицензии у кредитной организации</w:t>
      </w:r>
    </w:p>
    <w:p>
      <w:pPr>
        <w:pStyle w:val="0"/>
        <w:spacing w:before="200" w:line-rule="auto"/>
        <w:ind w:firstLine="540"/>
        <w:jc w:val="both"/>
      </w:pPr>
      <w:r>
        <w:rPr>
          <w:sz w:val="20"/>
        </w:rPr>
        <w:t xml:space="preserve">172. В соответствии с </w:t>
      </w:r>
      <w:hyperlink w:history="0" r:id="rId297"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пунктом 1 статьи 859</w:t>
        </w:r>
      </w:hyperlink>
      <w:r>
        <w:rPr>
          <w:sz w:val="20"/>
        </w:rP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w:history="0" r:id="rId298"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пункт 7 статьи 859</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173.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pPr>
        <w:pStyle w:val="0"/>
        <w:spacing w:before="200" w:line-rule="auto"/>
        <w:ind w:firstLine="540"/>
        <w:jc w:val="both"/>
      </w:pPr>
      <w:r>
        <w:rPr>
          <w:sz w:val="20"/>
        </w:rPr>
        <w:t xml:space="preserve">174. До момента закрытия соответствующего счета, счет считается открытым и подлежит отражению в </w:t>
      </w:r>
      <w:hyperlink w:history="0" r:id="rId29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4</w:t>
        </w:r>
      </w:hyperlink>
      <w:r>
        <w:rPr>
          <w:sz w:val="20"/>
        </w:rPr>
        <w:t xml:space="preserve"> справки.</w:t>
      </w:r>
    </w:p>
    <w:p>
      <w:pPr>
        <w:pStyle w:val="0"/>
        <w:jc w:val="both"/>
      </w:pPr>
      <w:r>
        <w:rPr>
          <w:sz w:val="20"/>
        </w:rPr>
      </w:r>
    </w:p>
    <w:p>
      <w:pPr>
        <w:pStyle w:val="2"/>
        <w:outlineLvl w:val="2"/>
        <w:ind w:firstLine="540"/>
        <w:jc w:val="both"/>
      </w:pPr>
      <w:r>
        <w:rPr>
          <w:sz w:val="20"/>
        </w:rPr>
        <w:t xml:space="preserve">Ликвидация кредитной организации</w:t>
      </w:r>
    </w:p>
    <w:p>
      <w:pPr>
        <w:pStyle w:val="0"/>
        <w:spacing w:before="200" w:line-rule="auto"/>
        <w:ind w:firstLine="540"/>
        <w:jc w:val="both"/>
      </w:pPr>
      <w:r>
        <w:rPr>
          <w:sz w:val="20"/>
        </w:rPr>
        <w:t xml:space="preserve">175.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pPr>
        <w:pStyle w:val="0"/>
        <w:spacing w:before="200" w:line-rule="auto"/>
        <w:ind w:firstLine="540"/>
        <w:jc w:val="both"/>
      </w:pPr>
      <w:r>
        <w:rPr>
          <w:sz w:val="20"/>
        </w:rPr>
        <w:t xml:space="preserve">176.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pPr>
        <w:pStyle w:val="0"/>
        <w:spacing w:before="200" w:line-rule="auto"/>
        <w:ind w:firstLine="540"/>
        <w:jc w:val="both"/>
      </w:pPr>
      <w:r>
        <w:rPr>
          <w:sz w:val="20"/>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r>
        <w:rPr>
          <w:sz w:val="20"/>
        </w:rPr>
        <w:t xml:space="preserve">https://www.cbr.ru/banking_sector/likvidbase/</w:t>
      </w:r>
      <w:r>
        <w:rPr>
          <w:sz w:val="20"/>
        </w:rPr>
        <w:t xml:space="preserve">.</w:t>
      </w:r>
    </w:p>
    <w:p>
      <w:pPr>
        <w:pStyle w:val="0"/>
        <w:jc w:val="both"/>
      </w:pPr>
      <w:r>
        <w:rPr>
          <w:sz w:val="20"/>
        </w:rPr>
      </w:r>
    </w:p>
    <w:p>
      <w:pPr>
        <w:pStyle w:val="2"/>
        <w:outlineLvl w:val="1"/>
        <w:jc w:val="center"/>
      </w:pPr>
      <w:hyperlink w:history="0" r:id="rId30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 5</w:t>
        </w:r>
      </w:hyperlink>
      <w:r>
        <w:rPr>
          <w:sz w:val="20"/>
        </w:rPr>
        <w:t xml:space="preserve">. СВЕДЕНИЯ О ЦЕННЫХ БУМАГАХ</w:t>
      </w:r>
    </w:p>
    <w:p>
      <w:pPr>
        <w:pStyle w:val="0"/>
        <w:jc w:val="both"/>
      </w:pPr>
      <w:r>
        <w:rPr>
          <w:sz w:val="20"/>
        </w:rPr>
      </w:r>
    </w:p>
    <w:p>
      <w:pPr>
        <w:pStyle w:val="0"/>
        <w:ind w:firstLine="540"/>
        <w:jc w:val="both"/>
      </w:pPr>
      <w:r>
        <w:rPr>
          <w:sz w:val="20"/>
        </w:rPr>
        <w:t xml:space="preserve">177. В данном </w:t>
      </w:r>
      <w:hyperlink w:history="0" r:id="rId30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w:history="0" r:id="rId30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1</w:t>
        </w:r>
      </w:hyperlink>
      <w:r>
        <w:rPr>
          <w:sz w:val="20"/>
        </w:rPr>
        <w:t xml:space="preserve"> справки (</w:t>
      </w:r>
      <w:hyperlink w:history="0" r:id="rId30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строка</w:t>
        </w:r>
      </w:hyperlink>
      <w:r>
        <w:rPr>
          <w:sz w:val="20"/>
        </w:rPr>
        <w:t xml:space="preserve"> "Доход от ценных бумаг и долей участия в коммерческих организациях").</w:t>
      </w:r>
    </w:p>
    <w:p>
      <w:pPr>
        <w:pStyle w:val="0"/>
        <w:spacing w:before="200" w:line-rule="auto"/>
        <w:ind w:firstLine="540"/>
        <w:jc w:val="both"/>
      </w:pPr>
      <w:r>
        <w:rPr>
          <w:sz w:val="20"/>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pPr>
        <w:pStyle w:val="0"/>
        <w:spacing w:before="200" w:line-rule="auto"/>
        <w:ind w:firstLine="540"/>
        <w:jc w:val="both"/>
      </w:pPr>
      <w:r>
        <w:rPr>
          <w:sz w:val="20"/>
        </w:rPr>
        <w:t xml:space="preserve">Государственный сертификат на материнский (семейный) капитал не является ценной бумагой и не подлежит указанию в </w:t>
      </w:r>
      <w:hyperlink w:history="0" r:id="rId30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5</w:t>
        </w:r>
      </w:hyperlink>
      <w:r>
        <w:rPr>
          <w:sz w:val="20"/>
        </w:rPr>
        <w:t xml:space="preserve"> справки.</w:t>
      </w:r>
    </w:p>
    <w:p>
      <w:pPr>
        <w:pStyle w:val="0"/>
        <w:spacing w:before="200" w:line-rule="auto"/>
        <w:ind w:firstLine="540"/>
        <w:jc w:val="both"/>
      </w:pPr>
      <w:r>
        <w:rPr>
          <w:sz w:val="20"/>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w:history="0" r:id="rId30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5.1</w:t>
        </w:r>
      </w:hyperlink>
      <w:r>
        <w:rPr>
          <w:sz w:val="20"/>
        </w:rPr>
        <w:t xml:space="preserve"> или </w:t>
      </w:r>
      <w:hyperlink w:history="0" r:id="rId30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5.2 раздела 5</w:t>
        </w:r>
      </w:hyperlink>
      <w:r>
        <w:rPr>
          <w:sz w:val="20"/>
        </w:rPr>
        <w:t xml:space="preserve"> справки соответственно.</w:t>
      </w:r>
    </w:p>
    <w:p>
      <w:pPr>
        <w:pStyle w:val="0"/>
        <w:spacing w:before="200" w:line-rule="auto"/>
        <w:ind w:firstLine="540"/>
        <w:jc w:val="both"/>
      </w:pPr>
      <w:r>
        <w:rPr>
          <w:sz w:val="20"/>
        </w:rPr>
        <w:t xml:space="preserve">В соответствии с </w:t>
      </w:r>
      <w:hyperlink w:history="0" r:id="rId307"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пунктом 1 статьи 1012</w:t>
        </w:r>
      </w:hyperlink>
      <w:r>
        <w:rPr>
          <w:sz w:val="20"/>
        </w:rP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w:history="0" r:id="rId30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5</w:t>
        </w:r>
      </w:hyperlink>
      <w:r>
        <w:rPr>
          <w:sz w:val="20"/>
        </w:rPr>
        <w:t xml:space="preserve"> справки.</w:t>
      </w:r>
    </w:p>
    <w:p>
      <w:pPr>
        <w:pStyle w:val="0"/>
        <w:spacing w:before="200" w:line-rule="auto"/>
        <w:ind w:firstLine="540"/>
        <w:jc w:val="both"/>
      </w:pPr>
      <w:r>
        <w:rPr>
          <w:sz w:val="20"/>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pPr>
        <w:pStyle w:val="0"/>
        <w:spacing w:before="200" w:line-rule="auto"/>
        <w:ind w:firstLine="540"/>
        <w:jc w:val="both"/>
      </w:pPr>
      <w:r>
        <w:rPr>
          <w:sz w:val="20"/>
        </w:rPr>
        <w:t xml:space="preserve">Отдельная информация, необходимая для заполнения </w:t>
      </w:r>
      <w:hyperlink w:history="0" r:id="rId30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 5</w:t>
        </w:r>
      </w:hyperlink>
      <w:r>
        <w:rPr>
          <w:sz w:val="20"/>
        </w:rPr>
        <w:t xml:space="preserve"> справки, может быть получена в рамках </w:t>
      </w:r>
      <w:hyperlink w:history="0" r:id="rId310"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pPr>
        <w:pStyle w:val="0"/>
        <w:spacing w:before="200" w:line-rule="auto"/>
        <w:ind w:firstLine="540"/>
        <w:jc w:val="both"/>
      </w:pPr>
      <w:r>
        <w:rPr>
          <w:sz w:val="20"/>
        </w:rPr>
        <w:t xml:space="preserve">Также при отсутствии информации в отношении отдельных граф организация в соответствии с </w:t>
      </w:r>
      <w:hyperlink w:history="0" r:id="rId311"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Указанием</w:t>
        </w:r>
      </w:hyperlink>
      <w:r>
        <w:rPr>
          <w:sz w:val="20"/>
        </w:rP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pPr>
        <w:pStyle w:val="0"/>
        <w:jc w:val="both"/>
      </w:pPr>
      <w:r>
        <w:rPr>
          <w:sz w:val="20"/>
        </w:rPr>
      </w:r>
    </w:p>
    <w:p>
      <w:pPr>
        <w:pStyle w:val="2"/>
        <w:outlineLvl w:val="2"/>
        <w:ind w:firstLine="540"/>
        <w:jc w:val="both"/>
      </w:pPr>
      <w:hyperlink w:history="0" r:id="rId31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 5.1</w:t>
        </w:r>
      </w:hyperlink>
      <w:r>
        <w:rPr>
          <w:sz w:val="20"/>
        </w:rPr>
        <w:t xml:space="preserve">. Акции и иное участие в коммерческих организациях и фондах</w:t>
      </w:r>
    </w:p>
    <w:p>
      <w:pPr>
        <w:pStyle w:val="0"/>
        <w:spacing w:before="200" w:line-rule="auto"/>
        <w:ind w:firstLine="540"/>
        <w:jc w:val="both"/>
      </w:pPr>
      <w:r>
        <w:rPr>
          <w:sz w:val="20"/>
        </w:rPr>
        <w:t xml:space="preserve">178. В соответствии с Федеральным </w:t>
      </w:r>
      <w:hyperlink w:history="0" r:id="rId313" w:tooltip="Федеральный закон от 22.04.1996 N 39-ФЗ (ред. от 25.12.2023) &quot;О рынке ценных бумаг&quot; (с изм. и доп., вступ. в силу с 01.02.2024) {КонсультантПлюс}">
        <w:r>
          <w:rPr>
            <w:sz w:val="20"/>
            <w:color w:val="0000ff"/>
          </w:rPr>
          <w:t xml:space="preserve">законом</w:t>
        </w:r>
      </w:hyperlink>
      <w:r>
        <w:rPr>
          <w:sz w:val="20"/>
        </w:rP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bookmarkStart w:id="675" w:name="P675"/>
    <w:bookmarkEnd w:id="675"/>
    <w:p>
      <w:pPr>
        <w:pStyle w:val="0"/>
        <w:spacing w:before="200" w:line-rule="auto"/>
        <w:ind w:firstLine="540"/>
        <w:jc w:val="both"/>
      </w:pPr>
      <w:r>
        <w:rPr>
          <w:sz w:val="20"/>
        </w:rPr>
        <w:t xml:space="preserve">179. В </w:t>
      </w:r>
      <w:hyperlink w:history="0" r:id="rId31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pPr>
        <w:pStyle w:val="0"/>
        <w:spacing w:before="200" w:line-rule="auto"/>
        <w:ind w:firstLine="540"/>
        <w:jc w:val="both"/>
      </w:pPr>
      <w:r>
        <w:rPr>
          <w:sz w:val="20"/>
        </w:rPr>
        <w:t xml:space="preserve">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bookmarkStart w:id="677" w:name="P677"/>
    <w:bookmarkEnd w:id="677"/>
    <w:p>
      <w:pPr>
        <w:pStyle w:val="0"/>
        <w:spacing w:before="200" w:line-rule="auto"/>
        <w:ind w:firstLine="540"/>
        <w:jc w:val="both"/>
      </w:pPr>
      <w:r>
        <w:rPr>
          <w:sz w:val="20"/>
        </w:rPr>
        <w:t xml:space="preserve">180. В </w:t>
      </w:r>
      <w:hyperlink w:history="0" r:id="rId31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bookmarkStart w:id="678" w:name="P678"/>
    <w:bookmarkEnd w:id="678"/>
    <w:p>
      <w:pPr>
        <w:pStyle w:val="0"/>
        <w:spacing w:before="200" w:line-rule="auto"/>
        <w:ind w:firstLine="540"/>
        <w:jc w:val="both"/>
      </w:pPr>
      <w:r>
        <w:rPr>
          <w:sz w:val="20"/>
        </w:rPr>
        <w:t xml:space="preserve">181.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w:t>
      </w:r>
      <w:hyperlink w:history="0" w:anchor="P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Если законодательством не предусмотрено формирование уставного капитала, то указывается "0 руб.".</w:t>
      </w:r>
    </w:p>
    <w:p>
      <w:pPr>
        <w:pStyle w:val="0"/>
        <w:spacing w:before="200" w:line-rule="auto"/>
        <w:ind w:firstLine="540"/>
        <w:jc w:val="both"/>
      </w:pPr>
      <w:r>
        <w:rPr>
          <w:sz w:val="20"/>
        </w:rPr>
        <w:t xml:space="preserve">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bookmarkStart w:id="681" w:name="P681"/>
    <w:bookmarkEnd w:id="681"/>
    <w:p>
      <w:pPr>
        <w:pStyle w:val="0"/>
        <w:spacing w:before="200" w:line-rule="auto"/>
        <w:ind w:firstLine="540"/>
        <w:jc w:val="both"/>
      </w:pPr>
      <w:r>
        <w:rPr>
          <w:sz w:val="20"/>
        </w:rPr>
        <w:t xml:space="preserve">182. Доля участия выражается в процентах от уставного капитала. Для акционерных обществ указываются также номинальная стоимость и количество акций.</w:t>
      </w:r>
    </w:p>
    <w:p>
      <w:pPr>
        <w:pStyle w:val="0"/>
        <w:spacing w:before="200" w:line-rule="auto"/>
        <w:ind w:firstLine="540"/>
        <w:jc w:val="both"/>
      </w:pPr>
      <w:r>
        <w:rPr>
          <w:sz w:val="20"/>
        </w:rPr>
        <w:t xml:space="preserve">183. В СПО "Справки БК" предусмотрена </w:t>
      </w:r>
      <w:hyperlink w:history="0" r:id="rId31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графа</w:t>
        </w:r>
      </w:hyperlink>
      <w:r>
        <w:rPr>
          <w:sz w:val="20"/>
        </w:rPr>
        <w:t xml:space="preserve"> "Общая стоимость (руб.)",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pPr>
        <w:pStyle w:val="0"/>
        <w:spacing w:before="200" w:line-rule="auto"/>
        <w:ind w:firstLine="540"/>
        <w:jc w:val="both"/>
      </w:pPr>
      <w:r>
        <w:rPr>
          <w:sz w:val="20"/>
        </w:rP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history="0" w:anchor="P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Данное поле может не отображаться в распечатанной справке, но его заполнение является необходимым для корректного отображения в </w:t>
      </w:r>
      <w:hyperlink w:history="0" r:id="rId31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5</w:t>
        </w:r>
      </w:hyperlink>
      <w:r>
        <w:rPr>
          <w:sz w:val="20"/>
        </w:rP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w:history="0" r:id="rId31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разделу 5</w:t>
        </w:r>
      </w:hyperlink>
      <w:r>
        <w:rPr>
          <w:sz w:val="20"/>
        </w:rPr>
        <w:t xml:space="preserve"> справки.</w:t>
      </w:r>
    </w:p>
    <w:p>
      <w:pPr>
        <w:pStyle w:val="0"/>
        <w:spacing w:before="200" w:line-rule="auto"/>
        <w:ind w:firstLine="540"/>
        <w:jc w:val="both"/>
      </w:pPr>
      <w:r>
        <w:rPr>
          <w:sz w:val="20"/>
        </w:rPr>
        <w:t xml:space="preserve">184. В </w:t>
      </w:r>
      <w:hyperlink w:history="0" r:id="rId31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pPr>
        <w:pStyle w:val="0"/>
        <w:spacing w:before="200" w:line-rule="auto"/>
        <w:ind w:firstLine="540"/>
        <w:jc w:val="both"/>
      </w:pPr>
      <w:r>
        <w:rPr>
          <w:sz w:val="20"/>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w:history="0" r:id="rId32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"Основание участия" указывается "приобретено на организованных торгах", а также указывается год приобретения.</w:t>
      </w:r>
    </w:p>
    <w:p>
      <w:pPr>
        <w:pStyle w:val="0"/>
        <w:jc w:val="both"/>
      </w:pPr>
      <w:r>
        <w:rPr>
          <w:sz w:val="20"/>
        </w:rPr>
      </w:r>
    </w:p>
    <w:p>
      <w:pPr>
        <w:pStyle w:val="2"/>
        <w:outlineLvl w:val="2"/>
        <w:ind w:firstLine="540"/>
        <w:jc w:val="both"/>
      </w:pPr>
      <w:hyperlink w:history="0" r:id="rId32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 5.2</w:t>
        </w:r>
      </w:hyperlink>
      <w:r>
        <w:rPr>
          <w:sz w:val="20"/>
        </w:rPr>
        <w:t xml:space="preserve">. Иные ценные бумаги</w:t>
      </w:r>
    </w:p>
    <w:p>
      <w:pPr>
        <w:pStyle w:val="0"/>
        <w:spacing w:before="200" w:line-rule="auto"/>
        <w:ind w:firstLine="540"/>
        <w:jc w:val="both"/>
      </w:pPr>
      <w:r>
        <w:rPr>
          <w:sz w:val="20"/>
        </w:rPr>
        <w:t xml:space="preserve">185. В </w:t>
      </w:r>
      <w:hyperlink w:history="0" r:id="rId32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5.2 раздела 5</w:t>
        </w:r>
      </w:hyperlink>
      <w:r>
        <w:rPr>
          <w:sz w:val="20"/>
        </w:rPr>
        <w:t xml:space="preserve"> справки указываются все ценные бумаги по видам (облигации, векселя и другие), за исключением акций, указанных в </w:t>
      </w:r>
      <w:hyperlink w:history="0" r:id="rId32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5.1 раздела 5</w:t>
        </w:r>
      </w:hyperlink>
      <w:r>
        <w:rPr>
          <w:sz w:val="20"/>
        </w:rPr>
        <w:t xml:space="preserve"> справки.</w:t>
      </w:r>
    </w:p>
    <w:p>
      <w:pPr>
        <w:pStyle w:val="0"/>
        <w:spacing w:before="200" w:line-rule="auto"/>
        <w:ind w:firstLine="540"/>
        <w:jc w:val="both"/>
      </w:pPr>
      <w:r>
        <w:rPr>
          <w:sz w:val="20"/>
        </w:rPr>
        <w:t xml:space="preserve">186. В </w:t>
      </w:r>
      <w:hyperlink w:history="0" r:id="rId32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"Номинальная величина обязательства (руб.)" отражается номинальная стоимость на отчетную дату. В данной </w:t>
      </w:r>
      <w:hyperlink w:history="0" r:id="rId32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w:history="0" r:id="rId32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графа</w:t>
        </w:r>
      </w:hyperlink>
      <w:r>
        <w:rPr>
          <w:sz w:val="20"/>
        </w:rPr>
        <w:t xml:space="preserve"> не заполняется.</w:t>
      </w:r>
    </w:p>
    <w:p>
      <w:pPr>
        <w:pStyle w:val="0"/>
        <w:spacing w:before="200" w:line-rule="auto"/>
        <w:ind w:firstLine="540"/>
        <w:jc w:val="both"/>
      </w:pPr>
      <w:r>
        <w:rPr>
          <w:sz w:val="20"/>
        </w:rPr>
        <w:t xml:space="preserve">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pPr>
        <w:pStyle w:val="0"/>
        <w:spacing w:before="200" w:line-rule="auto"/>
        <w:ind w:firstLine="540"/>
        <w:jc w:val="both"/>
      </w:pPr>
      <w:r>
        <w:rPr>
          <w:sz w:val="20"/>
        </w:rPr>
        <w:t xml:space="preserve">187. В </w:t>
      </w:r>
      <w:hyperlink w:history="0" r:id="rId32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"Общая стоимость (руб.)"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w:t>
      </w:r>
      <w:hyperlink w:history="0" r:id="rId32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графу</w:t>
        </w:r>
      </w:hyperlink>
      <w:r>
        <w:rPr>
          <w:sz w:val="20"/>
        </w:rPr>
        <w:t xml:space="preserve">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w:t>
      </w:r>
      <w:hyperlink w:history="0" r:id="rId32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w:t>
      </w:r>
    </w:p>
    <w:p>
      <w:pPr>
        <w:pStyle w:val="0"/>
        <w:spacing w:before="200" w:line-rule="auto"/>
        <w:ind w:firstLine="540"/>
        <w:jc w:val="both"/>
      </w:pPr>
      <w:r>
        <w:rPr>
          <w:sz w:val="20"/>
        </w:rP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history="0" w:anchor="P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188. 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w:t>
      </w:r>
      <w:hyperlink w:history="0" r:id="rId330"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pPr>
        <w:pStyle w:val="0"/>
        <w:spacing w:before="200" w:line-rule="auto"/>
        <w:ind w:firstLine="540"/>
        <w:jc w:val="both"/>
      </w:pPr>
      <w:r>
        <w:rPr>
          <w:sz w:val="20"/>
        </w:rPr>
        <w:t xml:space="preserve">Данное положение, а также иные особенности владения государственными гражданскими служащими Российской Федерации ценных бумаг содержатся в </w:t>
      </w:r>
      <w:hyperlink w:history="0" r:id="rId331" w:tooltip="&lt;Письмо&gt; Минтруда России от 22.09.2022 N 28-7/10/В-12862 &lt;О методических материалах касающихся возможности приобретения государственными гражданскими служащими Российской Федерации ценных бумаг в собственность&gt; {КонсультантПлюс}">
        <w:r>
          <w:rPr>
            <w:sz w:val="20"/>
            <w:color w:val="0000ff"/>
          </w:rPr>
          <w:t xml:space="preserve">письме</w:t>
        </w:r>
      </w:hyperlink>
      <w:r>
        <w:rPr>
          <w:sz w:val="20"/>
        </w:rPr>
        <w:t xml:space="preserve"> Минтруда России от 22 сентября 2022 г. N 28-7/10/В-12862 (</w:t>
      </w:r>
      <w:r>
        <w:rPr>
          <w:sz w:val="20"/>
        </w:rPr>
        <w:t xml:space="preserve">https://mintrud.gov.ru/ministry/programms/anticorruption/9/21</w:t>
      </w:r>
      <w:r>
        <w:rPr>
          <w:sz w:val="20"/>
        </w:rPr>
        <w:t xml:space="preserve">).</w:t>
      </w:r>
    </w:p>
    <w:p>
      <w:pPr>
        <w:pStyle w:val="0"/>
        <w:jc w:val="both"/>
      </w:pPr>
      <w:r>
        <w:rPr>
          <w:sz w:val="20"/>
        </w:rPr>
      </w:r>
    </w:p>
    <w:p>
      <w:pPr>
        <w:pStyle w:val="2"/>
        <w:outlineLvl w:val="1"/>
        <w:jc w:val="center"/>
      </w:pPr>
      <w:hyperlink w:history="0" r:id="rId33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 6</w:t>
        </w:r>
      </w:hyperlink>
      <w:r>
        <w:rPr>
          <w:sz w:val="20"/>
        </w:rPr>
        <w:t xml:space="preserve">. СВЕДЕНИЯ ОБ ОБЯЗАТЕЛЬСТВАХ</w:t>
      </w:r>
    </w:p>
    <w:p>
      <w:pPr>
        <w:pStyle w:val="2"/>
        <w:jc w:val="center"/>
      </w:pPr>
      <w:r>
        <w:rPr>
          <w:sz w:val="20"/>
        </w:rPr>
        <w:t xml:space="preserve">ИМУЩЕСТВЕННОГО ХАРАКТЕРА</w:t>
      </w:r>
    </w:p>
    <w:p>
      <w:pPr>
        <w:pStyle w:val="0"/>
        <w:jc w:val="both"/>
      </w:pPr>
      <w:r>
        <w:rPr>
          <w:sz w:val="20"/>
        </w:rPr>
      </w:r>
    </w:p>
    <w:p>
      <w:pPr>
        <w:pStyle w:val="2"/>
        <w:outlineLvl w:val="2"/>
        <w:ind w:firstLine="540"/>
        <w:jc w:val="both"/>
      </w:pPr>
      <w:hyperlink w:history="0" r:id="rId33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 6.1</w:t>
        </w:r>
      </w:hyperlink>
      <w:r>
        <w:rPr>
          <w:sz w:val="20"/>
        </w:rPr>
        <w:t xml:space="preserve">. Объекты недвижимого имущества, находящиеся в пользовании</w:t>
      </w:r>
    </w:p>
    <w:p>
      <w:pPr>
        <w:pStyle w:val="0"/>
        <w:spacing w:before="200" w:line-rule="auto"/>
        <w:ind w:firstLine="540"/>
        <w:jc w:val="both"/>
      </w:pPr>
      <w:r>
        <w:rPr>
          <w:sz w:val="20"/>
        </w:rPr>
        <w:t xml:space="preserve">189. В данном </w:t>
      </w:r>
      <w:hyperlink w:history="0" r:id="rId33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pPr>
        <w:pStyle w:val="0"/>
        <w:spacing w:before="200" w:line-rule="auto"/>
        <w:ind w:firstLine="540"/>
        <w:jc w:val="both"/>
      </w:pPr>
      <w:r>
        <w:rPr>
          <w:sz w:val="20"/>
        </w:rPr>
        <w:t xml:space="preserve">В данном </w:t>
      </w:r>
      <w:hyperlink w:history="0" r:id="rId33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pPr>
        <w:pStyle w:val="0"/>
        <w:spacing w:before="200" w:line-rule="auto"/>
        <w:ind w:firstLine="540"/>
        <w:jc w:val="both"/>
      </w:pPr>
      <w:r>
        <w:rPr>
          <w:sz w:val="20"/>
        </w:rPr>
        <w:t xml:space="preserve">190. При заполнении данного </w:t>
      </w:r>
      <w:hyperlink w:history="0" r:id="rId33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подраздела</w:t>
        </w:r>
      </w:hyperlink>
      <w:r>
        <w:rPr>
          <w:sz w:val="20"/>
        </w:rP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pPr>
        <w:pStyle w:val="0"/>
        <w:spacing w:before="200" w:line-rule="auto"/>
        <w:ind w:firstLine="540"/>
        <w:jc w:val="both"/>
      </w:pPr>
      <w:r>
        <w:rPr>
          <w:sz w:val="20"/>
        </w:rPr>
        <w:t xml:space="preserve">Не требуется в данном </w:t>
      </w:r>
      <w:hyperlink w:history="0" r:id="rId33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pPr>
        <w:pStyle w:val="0"/>
        <w:spacing w:before="200" w:line-rule="auto"/>
        <w:ind w:firstLine="540"/>
        <w:jc w:val="both"/>
      </w:pPr>
      <w:r>
        <w:rPr>
          <w:sz w:val="20"/>
        </w:rPr>
        <w:t xml:space="preserve">1) отсутствует фактическое пользование этим объектом супругом;</w:t>
      </w:r>
    </w:p>
    <w:p>
      <w:pPr>
        <w:pStyle w:val="0"/>
        <w:spacing w:before="200" w:line-rule="auto"/>
        <w:ind w:firstLine="540"/>
        <w:jc w:val="both"/>
      </w:pPr>
      <w:r>
        <w:rPr>
          <w:sz w:val="20"/>
        </w:rPr>
        <w:t xml:space="preserve">2) эти объекты указаны в </w:t>
      </w:r>
      <w:hyperlink w:history="0" r:id="rId33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3.1 раздела 3</w:t>
        </w:r>
      </w:hyperlink>
      <w:r>
        <w:rPr>
          <w:sz w:val="20"/>
        </w:rPr>
        <w:t xml:space="preserve"> соответствующей справки.</w:t>
      </w:r>
    </w:p>
    <w:p>
      <w:pPr>
        <w:pStyle w:val="0"/>
        <w:spacing w:before="200" w:line-rule="auto"/>
        <w:ind w:firstLine="540"/>
        <w:jc w:val="both"/>
      </w:pPr>
      <w:r>
        <w:rPr>
          <w:sz w:val="20"/>
        </w:rPr>
        <w:t xml:space="preserve">Аналогично в отношении несовершеннолетних детей.</w:t>
      </w:r>
    </w:p>
    <w:p>
      <w:pPr>
        <w:pStyle w:val="0"/>
        <w:spacing w:before="200" w:line-rule="auto"/>
        <w:ind w:firstLine="540"/>
        <w:jc w:val="both"/>
      </w:pPr>
      <w:r>
        <w:rPr>
          <w:sz w:val="20"/>
        </w:rP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w:history="0" r:id="rId33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3.1 раздела 3</w:t>
        </w:r>
      </w:hyperlink>
      <w:r>
        <w:rPr>
          <w:sz w:val="20"/>
        </w:rPr>
        <w:t xml:space="preserve"> (в случае наличия у такого лица права собственности) или в настоящем </w:t>
      </w:r>
      <w:hyperlink w:history="0" r:id="rId34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справки.</w:t>
      </w:r>
    </w:p>
    <w:p>
      <w:pPr>
        <w:pStyle w:val="0"/>
        <w:spacing w:before="200" w:line-rule="auto"/>
        <w:ind w:firstLine="540"/>
        <w:jc w:val="both"/>
      </w:pPr>
      <w:r>
        <w:rPr>
          <w:sz w:val="20"/>
        </w:rPr>
        <w:t xml:space="preserve">191. Данный </w:t>
      </w:r>
      <w:hyperlink w:history="0" r:id="rId34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w:t>
        </w:r>
      </w:hyperlink>
      <w:r>
        <w:rPr>
          <w:sz w:val="20"/>
        </w:rP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pPr>
        <w:pStyle w:val="0"/>
        <w:spacing w:before="200" w:line-rule="auto"/>
        <w:ind w:firstLine="540"/>
        <w:jc w:val="both"/>
      </w:pPr>
      <w:r>
        <w:rPr>
          <w:sz w:val="20"/>
        </w:rPr>
        <w:t xml:space="preserve">192. В том числе указанию подлежат сведения о жилом помещении (дом, квартира, комната), нежилом помещении, земельном участке, гараже и т.д.:</w:t>
      </w:r>
    </w:p>
    <w:p>
      <w:pPr>
        <w:pStyle w:val="0"/>
        <w:spacing w:before="200" w:line-rule="auto"/>
        <w:ind w:firstLine="540"/>
        <w:jc w:val="both"/>
      </w:pPr>
      <w:r>
        <w:rPr>
          <w:sz w:val="20"/>
        </w:rPr>
        <w:t xml:space="preserve">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pPr>
        <w:pStyle w:val="0"/>
        <w:spacing w:before="200" w:line-rule="auto"/>
        <w:ind w:firstLine="540"/>
        <w:jc w:val="both"/>
      </w:pPr>
      <w:r>
        <w:rPr>
          <w:sz w:val="20"/>
        </w:rPr>
        <w:t xml:space="preserve">2) где служащий (работник), члены его семьи фактически проживают без заключения договора аренды, безвозмездного пользования или социального найма;</w:t>
      </w:r>
    </w:p>
    <w:p>
      <w:pPr>
        <w:pStyle w:val="0"/>
        <w:spacing w:before="200" w:line-rule="auto"/>
        <w:ind w:firstLine="540"/>
        <w:jc w:val="both"/>
      </w:pPr>
      <w:r>
        <w:rPr>
          <w:sz w:val="20"/>
        </w:rPr>
        <w:t xml:space="preserve">3) занимаемых по договору аренды (найма, поднайма);</w:t>
      </w:r>
    </w:p>
    <w:p>
      <w:pPr>
        <w:pStyle w:val="0"/>
        <w:spacing w:before="200" w:line-rule="auto"/>
        <w:ind w:firstLine="540"/>
        <w:jc w:val="both"/>
      </w:pPr>
      <w:r>
        <w:rPr>
          <w:sz w:val="20"/>
        </w:rPr>
        <w:t xml:space="preserve">4) занимаемых по договорам социального найма;</w:t>
      </w:r>
    </w:p>
    <w:p>
      <w:pPr>
        <w:pStyle w:val="0"/>
        <w:spacing w:before="200" w:line-rule="auto"/>
        <w:ind w:firstLine="540"/>
        <w:jc w:val="both"/>
      </w:pPr>
      <w:r>
        <w:rPr>
          <w:sz w:val="20"/>
        </w:rPr>
        <w:t xml:space="preserve">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pPr>
        <w:pStyle w:val="0"/>
        <w:spacing w:before="200" w:line-rule="auto"/>
        <w:ind w:firstLine="540"/>
        <w:jc w:val="both"/>
      </w:pPr>
      <w:r>
        <w:rPr>
          <w:sz w:val="20"/>
        </w:rPr>
        <w:t xml:space="preserve">6) принадлежащих на праве пожизненного наследуемого владения земельным участком;</w:t>
      </w:r>
    </w:p>
    <w:p>
      <w:pPr>
        <w:pStyle w:val="0"/>
        <w:spacing w:before="200" w:line-rule="auto"/>
        <w:ind w:firstLine="540"/>
        <w:jc w:val="both"/>
      </w:pPr>
      <w:r>
        <w:rPr>
          <w:sz w:val="20"/>
        </w:rPr>
        <w:t xml:space="preserve">7) переданных объектах по договору или иному акту, но не зарегистрированных в установленном законодательством Российской Федерации порядке.</w:t>
      </w:r>
    </w:p>
    <w:p>
      <w:pPr>
        <w:pStyle w:val="0"/>
        <w:spacing w:before="200" w:line-rule="auto"/>
        <w:ind w:firstLine="540"/>
        <w:jc w:val="both"/>
      </w:pPr>
      <w:r>
        <w:rPr>
          <w:sz w:val="20"/>
        </w:rPr>
        <w:t xml:space="preserve">193. Отражению подлежит также, например, земельный участок, на котором расположен частный дом, находящийся в пользовании.</w:t>
      </w:r>
    </w:p>
    <w:p>
      <w:pPr>
        <w:pStyle w:val="0"/>
        <w:spacing w:before="200" w:line-rule="auto"/>
        <w:ind w:firstLine="540"/>
        <w:jc w:val="both"/>
      </w:pPr>
      <w:r>
        <w:rPr>
          <w:sz w:val="20"/>
        </w:rPr>
        <w:t xml:space="preserve">194. При этом указывается общая площадь объекта недвижимого имущества, находящегося в пользовании.</w:t>
      </w:r>
    </w:p>
    <w:p>
      <w:pPr>
        <w:pStyle w:val="0"/>
        <w:spacing w:before="200" w:line-rule="auto"/>
        <w:ind w:firstLine="540"/>
        <w:jc w:val="both"/>
      </w:pPr>
      <w:r>
        <w:rPr>
          <w:sz w:val="20"/>
        </w:rPr>
        <w:t xml:space="preserve">195. Сведения об объектах недвижимого имущества, находящихся в пользовании, указываются по состоянию на отчетную дату.</w:t>
      </w:r>
    </w:p>
    <w:p>
      <w:pPr>
        <w:pStyle w:val="0"/>
        <w:spacing w:before="200" w:line-rule="auto"/>
        <w:ind w:firstLine="540"/>
        <w:jc w:val="both"/>
      </w:pPr>
      <w:r>
        <w:rPr>
          <w:sz w:val="20"/>
        </w:rPr>
        <w:t xml:space="preserve">196. В </w:t>
      </w:r>
      <w:hyperlink w:history="0" r:id="rId34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"Вид имущества" указывается вид недвижимого имущества (земельный участок, жилой дом, дача, квартира, комната и др.).</w:t>
      </w:r>
    </w:p>
    <w:p>
      <w:pPr>
        <w:pStyle w:val="0"/>
        <w:spacing w:before="200" w:line-rule="auto"/>
        <w:ind w:firstLine="540"/>
        <w:jc w:val="both"/>
      </w:pPr>
      <w:r>
        <w:rPr>
          <w:sz w:val="20"/>
        </w:rPr>
        <w:t xml:space="preserve">197. В </w:t>
      </w:r>
      <w:hyperlink w:history="0" r:id="rId34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"Вид и сроки пользования" указываются вид пользования (аренда, безвозмездное пользование и др.) и сроки пользования.</w:t>
      </w:r>
    </w:p>
    <w:p>
      <w:pPr>
        <w:pStyle w:val="0"/>
        <w:spacing w:before="200" w:line-rule="auto"/>
        <w:ind w:firstLine="540"/>
        <w:jc w:val="both"/>
      </w:pPr>
      <w:r>
        <w:rPr>
          <w:sz w:val="20"/>
        </w:rPr>
        <w:t xml:space="preserve">198. В </w:t>
      </w:r>
      <w:hyperlink w:history="0" r:id="rId34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pPr>
        <w:pStyle w:val="0"/>
        <w:spacing w:before="200" w:line-rule="auto"/>
        <w:ind w:firstLine="540"/>
        <w:jc w:val="both"/>
      </w:pPr>
      <w:r>
        <w:rPr>
          <w:sz w:val="20"/>
        </w:rPr>
        <w:t xml:space="preserve">199. В данном </w:t>
      </w:r>
      <w:hyperlink w:history="0" r:id="rId34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не указывается недвижимое имущество, которое находится в собственности и уже отражено в </w:t>
      </w:r>
      <w:hyperlink w:history="0" r:id="rId34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3.1 раздела 3</w:t>
        </w:r>
      </w:hyperlink>
      <w:r>
        <w:rPr>
          <w:sz w:val="20"/>
        </w:rPr>
        <w:t xml:space="preserve"> справки.</w:t>
      </w:r>
    </w:p>
    <w:p>
      <w:pPr>
        <w:pStyle w:val="0"/>
        <w:spacing w:before="200" w:line-rule="auto"/>
        <w:ind w:firstLine="540"/>
        <w:jc w:val="both"/>
      </w:pPr>
      <w:r>
        <w:rPr>
          <w:sz w:val="20"/>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pPr>
        <w:pStyle w:val="0"/>
        <w:spacing w:before="200" w:line-rule="auto"/>
        <w:ind w:firstLine="540"/>
        <w:jc w:val="both"/>
      </w:pPr>
      <w:r>
        <w:rPr>
          <w:sz w:val="20"/>
        </w:rPr>
        <w:t xml:space="preserve">200.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w:history="0" r:id="rId34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 6.1. раздела 6</w:t>
        </w:r>
      </w:hyperlink>
      <w:r>
        <w:rPr>
          <w:sz w:val="20"/>
        </w:rPr>
        <w:t xml:space="preserve"> справки не вносятся.</w:t>
      </w:r>
    </w:p>
    <w:p>
      <w:pPr>
        <w:pStyle w:val="0"/>
        <w:spacing w:before="200" w:line-rule="auto"/>
        <w:ind w:firstLine="540"/>
        <w:jc w:val="both"/>
      </w:pPr>
      <w:r>
        <w:rPr>
          <w:sz w:val="20"/>
        </w:rPr>
        <w:t xml:space="preserve">При этом данные доли собственности должны быть отражены в </w:t>
      </w:r>
      <w:hyperlink w:history="0" r:id="rId34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3.1. раздела 3</w:t>
        </w:r>
      </w:hyperlink>
      <w:r>
        <w:rPr>
          <w:sz w:val="20"/>
        </w:rPr>
        <w:t xml:space="preserve"> справок служащего (работника) и его супруги (супруга).</w:t>
      </w:r>
    </w:p>
    <w:p>
      <w:pPr>
        <w:pStyle w:val="0"/>
        <w:spacing w:before="200" w:line-rule="auto"/>
        <w:ind w:firstLine="540"/>
        <w:jc w:val="both"/>
      </w:pPr>
      <w:r>
        <w:rPr>
          <w:sz w:val="20"/>
        </w:rPr>
        <w:t xml:space="preserve">Аналогично в отношении несовершеннолетних детей.</w:t>
      </w:r>
    </w:p>
    <w:p>
      <w:pPr>
        <w:pStyle w:val="0"/>
        <w:spacing w:before="200" w:line-rule="auto"/>
        <w:ind w:firstLine="540"/>
        <w:jc w:val="both"/>
      </w:pPr>
      <w:r>
        <w:rPr>
          <w:sz w:val="20"/>
        </w:rPr>
        <w:t xml:space="preserve">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w:t>
      </w:r>
      <w:hyperlink w:history="0" r:id="rId34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w:t>
      </w:r>
    </w:p>
    <w:p>
      <w:pPr>
        <w:pStyle w:val="0"/>
        <w:spacing w:before="200" w:line-rule="auto"/>
        <w:ind w:firstLine="540"/>
        <w:jc w:val="both"/>
      </w:pPr>
      <w:r>
        <w:rPr>
          <w:sz w:val="20"/>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pPr>
        <w:pStyle w:val="0"/>
        <w:spacing w:before="200" w:line-rule="auto"/>
        <w:ind w:firstLine="540"/>
        <w:jc w:val="both"/>
      </w:pPr>
      <w:r>
        <w:rPr>
          <w:sz w:val="20"/>
        </w:rPr>
        <w:t xml:space="preserve">201. </w:t>
      </w:r>
      <w:hyperlink w:history="0" r:id="rId35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Графа</w:t>
        </w:r>
      </w:hyperlink>
      <w:r>
        <w:rPr>
          <w:sz w:val="20"/>
        </w:rPr>
        <w:t xml:space="preserve"> "Площадь (кв. м)" заполняется на основании правоустанавливающих документов, а в случае их отсутствия - исходя из фактических значений.</w:t>
      </w:r>
    </w:p>
    <w:p>
      <w:pPr>
        <w:pStyle w:val="0"/>
        <w:jc w:val="both"/>
      </w:pPr>
      <w:r>
        <w:rPr>
          <w:sz w:val="20"/>
        </w:rPr>
      </w:r>
    </w:p>
    <w:p>
      <w:pPr>
        <w:pStyle w:val="2"/>
        <w:outlineLvl w:val="2"/>
        <w:ind w:firstLine="540"/>
        <w:jc w:val="both"/>
      </w:pPr>
      <w:hyperlink w:history="0" r:id="rId35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 6.2</w:t>
        </w:r>
      </w:hyperlink>
      <w:r>
        <w:rPr>
          <w:sz w:val="20"/>
        </w:rPr>
        <w:t xml:space="preserve">. Срочные обязательства финансового характера</w:t>
      </w:r>
    </w:p>
    <w:p>
      <w:pPr>
        <w:pStyle w:val="0"/>
        <w:spacing w:before="200" w:line-rule="auto"/>
        <w:ind w:firstLine="540"/>
        <w:jc w:val="both"/>
      </w:pPr>
      <w:r>
        <w:rPr>
          <w:sz w:val="20"/>
        </w:rPr>
        <w:t xml:space="preserve">202. В данном </w:t>
      </w:r>
      <w:hyperlink w:history="0" r:id="rId35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pPr>
        <w:pStyle w:val="0"/>
        <w:spacing w:before="200" w:line-rule="auto"/>
        <w:ind w:firstLine="540"/>
        <w:jc w:val="both"/>
      </w:pPr>
      <w:r>
        <w:rPr>
          <w:sz w:val="20"/>
        </w:rPr>
        <w:t xml:space="preserve">В данном </w:t>
      </w:r>
      <w:hyperlink w:history="0" r:id="rId35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pPr>
        <w:pStyle w:val="0"/>
        <w:spacing w:before="200" w:line-rule="auto"/>
        <w:ind w:firstLine="540"/>
        <w:jc w:val="both"/>
      </w:pPr>
      <w:r>
        <w:rPr>
          <w:sz w:val="20"/>
        </w:rPr>
        <w:t xml:space="preserve">Данный </w:t>
      </w:r>
      <w:hyperlink w:history="0" r:id="rId35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w:t>
        </w:r>
      </w:hyperlink>
      <w:r>
        <w:rPr>
          <w:sz w:val="20"/>
        </w:rPr>
        <w:t xml:space="preserve"> также подлежит заполнению в случае, если лицо, в отношении которого представляются Сведения, является созаемщиком.</w:t>
      </w:r>
    </w:p>
    <w:p>
      <w:pPr>
        <w:pStyle w:val="0"/>
        <w:spacing w:before="200" w:line-rule="auto"/>
        <w:ind w:firstLine="540"/>
        <w:jc w:val="both"/>
      </w:pPr>
      <w:r>
        <w:rPr>
          <w:sz w:val="20"/>
        </w:rPr>
        <w:t xml:space="preserve">203. В </w:t>
      </w:r>
      <w:hyperlink w:history="0" r:id="rId35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pPr>
        <w:pStyle w:val="0"/>
        <w:spacing w:before="200" w:line-rule="auto"/>
        <w:ind w:firstLine="540"/>
        <w:jc w:val="both"/>
      </w:pPr>
      <w:r>
        <w:rPr>
          <w:sz w:val="20"/>
        </w:rPr>
        <w:t xml:space="preserve">204. В </w:t>
      </w:r>
      <w:hyperlink w:history="0" r:id="rId35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pPr>
        <w:pStyle w:val="0"/>
        <w:spacing w:before="200" w:line-rule="auto"/>
        <w:ind w:firstLine="540"/>
        <w:jc w:val="both"/>
      </w:pPr>
      <w:r>
        <w:rPr>
          <w:sz w:val="20"/>
        </w:rPr>
        <w:t xml:space="preserve">Например,</w:t>
      </w:r>
    </w:p>
    <w:p>
      <w:pPr>
        <w:pStyle w:val="0"/>
        <w:spacing w:before="200" w:line-rule="auto"/>
        <w:ind w:firstLine="540"/>
        <w:jc w:val="both"/>
      </w:pPr>
      <w:r>
        <w:rPr>
          <w:sz w:val="20"/>
        </w:rPr>
        <w:t xml:space="preserve">1) если служащий (работник) или его супруга (супруг) взял(-а) кредит в ПАО Сбербанк и является должником, то в </w:t>
      </w:r>
      <w:hyperlink w:history="0" r:id="rId35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"Кредитор (должник)" указывается вторая сторона обязательства: кредитор ПАО Сбербанк;</w:t>
      </w:r>
    </w:p>
    <w:p>
      <w:pPr>
        <w:pStyle w:val="0"/>
        <w:spacing w:before="200" w:line-rule="auto"/>
        <w:ind w:firstLine="540"/>
        <w:jc w:val="both"/>
      </w:pPr>
      <w:r>
        <w:rPr>
          <w:sz w:val="20"/>
        </w:rPr>
        <w:t xml:space="preserve">2) если служащий (работник) или его супруга (супруг) заключил(-а) договор займа денежных средств и является займодавцем, то в </w:t>
      </w:r>
      <w:hyperlink w:history="0" r:id="rId35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pPr>
        <w:pStyle w:val="0"/>
        <w:spacing w:before="200" w:line-rule="auto"/>
        <w:ind w:firstLine="540"/>
        <w:jc w:val="both"/>
      </w:pPr>
      <w:r>
        <w:rPr>
          <w:sz w:val="20"/>
        </w:rPr>
        <w:t xml:space="preserve">205. В </w:t>
      </w:r>
      <w:hyperlink w:history="0" r:id="rId35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pPr>
        <w:pStyle w:val="0"/>
        <w:spacing w:before="200" w:line-rule="auto"/>
        <w:ind w:firstLine="540"/>
        <w:jc w:val="both"/>
      </w:pPr>
      <w:r>
        <w:rPr>
          <w:sz w:val="20"/>
        </w:rPr>
        <w:t xml:space="preserve">206. В </w:t>
      </w:r>
      <w:hyperlink w:history="0" r:id="rId36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"Сумма обязательства / размер обязательства по состоянию на отчетную дату" указываются:</w:t>
      </w:r>
    </w:p>
    <w:p>
      <w:pPr>
        <w:pStyle w:val="0"/>
        <w:spacing w:before="200" w:line-rule="auto"/>
        <w:ind w:firstLine="540"/>
        <w:jc w:val="both"/>
      </w:pPr>
      <w:r>
        <w:rPr>
          <w:sz w:val="20"/>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pPr>
        <w:pStyle w:val="0"/>
        <w:spacing w:before="200" w:line-rule="auto"/>
        <w:ind w:firstLine="540"/>
        <w:jc w:val="both"/>
      </w:pPr>
      <w:r>
        <w:rPr>
          <w:sz w:val="20"/>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pPr>
        <w:pStyle w:val="0"/>
        <w:spacing w:before="200" w:line-rule="auto"/>
        <w:ind w:firstLine="540"/>
        <w:jc w:val="both"/>
      </w:pPr>
      <w:r>
        <w:rPr>
          <w:sz w:val="20"/>
        </w:rPr>
        <w:t xml:space="preserve">Для обязательств, выраженных в иностранной валюте, сумма указывается в рублях по курсу Банка России на отчетную дату (с учетом положений </w:t>
      </w:r>
      <w:hyperlink w:history="0" w:anchor="P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Сведения об официальных курсах валют на заданную дату, устанавливаемых Центральным банком Российской Федерации, размещены на его официальном сайте: </w:t>
      </w:r>
      <w:r>
        <w:rPr>
          <w:sz w:val="20"/>
        </w:rPr>
        <w:t xml:space="preserve">https://www.cbr.ru/currency_base/daily/</w:t>
      </w:r>
      <w:r>
        <w:rPr>
          <w:sz w:val="20"/>
        </w:rPr>
        <w:t xml:space="preserve">.</w:t>
      </w:r>
    </w:p>
    <w:p>
      <w:pPr>
        <w:pStyle w:val="0"/>
        <w:spacing w:before="200" w:line-rule="auto"/>
        <w:ind w:firstLine="540"/>
        <w:jc w:val="both"/>
      </w:pPr>
      <w:r>
        <w:rPr>
          <w:sz w:val="20"/>
        </w:rPr>
        <w:t xml:space="preserve">207.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pPr>
        <w:pStyle w:val="0"/>
        <w:spacing w:before="200" w:line-rule="auto"/>
        <w:ind w:firstLine="540"/>
        <w:jc w:val="both"/>
      </w:pPr>
      <w:r>
        <w:rPr>
          <w:sz w:val="20"/>
        </w:rPr>
        <w:t xml:space="preserve">208. В </w:t>
      </w:r>
      <w:hyperlink w:history="0" r:id="rId36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pPr>
        <w:pStyle w:val="0"/>
        <w:spacing w:before="200" w:line-rule="auto"/>
        <w:ind w:firstLine="540"/>
        <w:jc w:val="both"/>
      </w:pPr>
      <w:r>
        <w:rPr>
          <w:sz w:val="20"/>
        </w:rPr>
        <w:t xml:space="preserve">209. Помимо прочего подлежат указанию:</w:t>
      </w:r>
    </w:p>
    <w:p>
      <w:pPr>
        <w:pStyle w:val="0"/>
        <w:spacing w:before="200" w:line-rule="auto"/>
        <w:ind w:firstLine="540"/>
        <w:jc w:val="both"/>
      </w:pPr>
      <w:r>
        <w:rPr>
          <w:sz w:val="20"/>
        </w:rPr>
        <w:t xml:space="preserve">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pPr>
        <w:pStyle w:val="0"/>
        <w:spacing w:before="200" w:line-rule="auto"/>
        <w:ind w:firstLine="540"/>
        <w:jc w:val="both"/>
      </w:pPr>
      <w:r>
        <w:rPr>
          <w:sz w:val="20"/>
        </w:rPr>
        <w:t xml:space="preserve">2) договор финансовой аренды (лизинг);</w:t>
      </w:r>
    </w:p>
    <w:p>
      <w:pPr>
        <w:pStyle w:val="0"/>
        <w:spacing w:before="200" w:line-rule="auto"/>
        <w:ind w:firstLine="540"/>
        <w:jc w:val="both"/>
      </w:pPr>
      <w:r>
        <w:rPr>
          <w:sz w:val="20"/>
        </w:rPr>
        <w:t xml:space="preserve">3) договор займа;</w:t>
      </w:r>
    </w:p>
    <w:p>
      <w:pPr>
        <w:pStyle w:val="0"/>
        <w:spacing w:before="200" w:line-rule="auto"/>
        <w:ind w:firstLine="540"/>
        <w:jc w:val="both"/>
      </w:pPr>
      <w:r>
        <w:rPr>
          <w:sz w:val="20"/>
        </w:rPr>
        <w:t xml:space="preserve">4) договор финансирования под уступку денежного требования;</w:t>
      </w:r>
    </w:p>
    <w:p>
      <w:pPr>
        <w:pStyle w:val="0"/>
        <w:spacing w:before="200" w:line-rule="auto"/>
        <w:ind w:firstLine="540"/>
        <w:jc w:val="both"/>
      </w:pPr>
      <w:r>
        <w:rPr>
          <w:sz w:val="20"/>
        </w:rPr>
        <w:t xml:space="preserve">5) обязательства, связанные с заключением договора об уступке права требования;</w:t>
      </w:r>
    </w:p>
    <w:p>
      <w:pPr>
        <w:pStyle w:val="0"/>
        <w:spacing w:before="200" w:line-rule="auto"/>
        <w:ind w:firstLine="540"/>
        <w:jc w:val="both"/>
      </w:pPr>
      <w:r>
        <w:rPr>
          <w:sz w:val="20"/>
        </w:rPr>
        <w:t xml:space="preserve">6) обязательства вследствие причинения вреда (финансовые);</w:t>
      </w:r>
    </w:p>
    <w:p>
      <w:pPr>
        <w:pStyle w:val="0"/>
        <w:spacing w:before="200" w:line-rule="auto"/>
        <w:ind w:firstLine="540"/>
        <w:jc w:val="both"/>
      </w:pPr>
      <w:r>
        <w:rPr>
          <w:sz w:val="20"/>
        </w:rPr>
        <w:t xml:space="preserve">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pPr>
        <w:pStyle w:val="0"/>
        <w:spacing w:before="200" w:line-rule="auto"/>
        <w:ind w:firstLine="540"/>
        <w:jc w:val="both"/>
      </w:pPr>
      <w:r>
        <w:rPr>
          <w:sz w:val="20"/>
        </w:rPr>
        <w:t xml:space="preserve">8) обязательства по уплате алиментов (если по состоянию на отчетную дату сумма невыплаченных алиментов равна или превышает 500 000 руб.);</w:t>
      </w:r>
    </w:p>
    <w:p>
      <w:pPr>
        <w:pStyle w:val="0"/>
        <w:spacing w:before="200" w:line-rule="auto"/>
        <w:ind w:firstLine="540"/>
        <w:jc w:val="both"/>
      </w:pPr>
      <w:r>
        <w:rPr>
          <w:sz w:val="20"/>
        </w:rPr>
        <w:t xml:space="preserve">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pPr>
        <w:pStyle w:val="0"/>
        <w:spacing w:before="200" w:line-rule="auto"/>
        <w:ind w:firstLine="540"/>
        <w:jc w:val="both"/>
      </w:pPr>
      <w:r>
        <w:rPr>
          <w:sz w:val="20"/>
        </w:rPr>
        <w:t xml:space="preserve">10) выкупленная дебиторская задолженность;</w:t>
      </w:r>
    </w:p>
    <w:p>
      <w:pPr>
        <w:pStyle w:val="0"/>
        <w:spacing w:before="200" w:line-rule="auto"/>
        <w:ind w:firstLine="540"/>
        <w:jc w:val="both"/>
      </w:pPr>
      <w:r>
        <w:rPr>
          <w:sz w:val="20"/>
        </w:rPr>
        <w:t xml:space="preserve">11) финансовые обязательства, участником которых в силу Федерального </w:t>
      </w:r>
      <w:hyperlink w:history="0" r:id="rId362" w:tooltip="Федеральный закон от 23.12.2003 N 177-ФЗ (ред. от 25.12.2023) &quot;О страховании вкладов в банках Российской Федерации&quot; {КонсультантПлюс}">
        <w:r>
          <w:rPr>
            <w:sz w:val="20"/>
            <w:color w:val="0000ff"/>
          </w:rPr>
          <w:t xml:space="preserve">закона</w:t>
        </w:r>
      </w:hyperlink>
      <w:r>
        <w:rPr>
          <w:sz w:val="20"/>
        </w:rP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pPr>
        <w:pStyle w:val="0"/>
        <w:spacing w:before="200" w:line-rule="auto"/>
        <w:ind w:firstLine="540"/>
        <w:jc w:val="both"/>
      </w:pPr>
      <w:r>
        <w:rPr>
          <w:sz w:val="20"/>
        </w:rPr>
        <w:t xml:space="preserve">12) предоставленные брокером займы (т.н. "маржинальные сделки");</w:t>
      </w:r>
    </w:p>
    <w:p>
      <w:pPr>
        <w:pStyle w:val="0"/>
        <w:spacing w:before="200" w:line-rule="auto"/>
        <w:ind w:firstLine="540"/>
        <w:jc w:val="both"/>
      </w:pPr>
      <w:r>
        <w:rPr>
          <w:sz w:val="20"/>
        </w:rPr>
        <w:t xml:space="preserve">13) обязательства по незакрытым сделкам РЕПО и СВОП (у клиента имеются требования и обязательства по этим сделкам);</w:t>
      </w:r>
    </w:p>
    <w:p>
      <w:pPr>
        <w:pStyle w:val="0"/>
        <w:spacing w:before="200" w:line-rule="auto"/>
        <w:ind w:firstLine="540"/>
        <w:jc w:val="both"/>
      </w:pPr>
      <w:r>
        <w:rPr>
          <w:sz w:val="20"/>
        </w:rPr>
        <w:t xml:space="preserve">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pPr>
        <w:pStyle w:val="0"/>
        <w:spacing w:before="200" w:line-rule="auto"/>
        <w:ind w:firstLine="540"/>
        <w:jc w:val="both"/>
      </w:pPr>
      <w:r>
        <w:rPr>
          <w:sz w:val="20"/>
        </w:rPr>
        <w:t xml:space="preserve">14) фьючерсный договор;</w:t>
      </w:r>
    </w:p>
    <w:p>
      <w:pPr>
        <w:pStyle w:val="0"/>
        <w:spacing w:before="200" w:line-rule="auto"/>
        <w:ind w:firstLine="540"/>
        <w:jc w:val="both"/>
      </w:pPr>
      <w:r>
        <w:rPr>
          <w:sz w:val="20"/>
        </w:rPr>
        <w:t xml:space="preserve">15) иные обязательства, в том числе установленные решением суда.</w:t>
      </w:r>
    </w:p>
    <w:p>
      <w:pPr>
        <w:pStyle w:val="0"/>
        <w:spacing w:before="200" w:line-rule="auto"/>
        <w:ind w:firstLine="540"/>
        <w:jc w:val="both"/>
      </w:pPr>
      <w:r>
        <w:rPr>
          <w:sz w:val="20"/>
        </w:rPr>
        <w:t xml:space="preserve">210. При этом в данном </w:t>
      </w:r>
      <w:hyperlink w:history="0" r:id="rId36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не указываются, например, договор срочного банковского вклада.</w:t>
      </w:r>
    </w:p>
    <w:p>
      <w:pPr>
        <w:pStyle w:val="0"/>
        <w:spacing w:before="200" w:line-rule="auto"/>
        <w:ind w:firstLine="540"/>
        <w:jc w:val="both"/>
      </w:pPr>
      <w:r>
        <w:rPr>
          <w:sz w:val="20"/>
        </w:rPr>
        <w:t xml:space="preserve">211. Для заполнения данного </w:t>
      </w:r>
      <w:hyperlink w:history="0" r:id="rId36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подраздела</w:t>
        </w:r>
      </w:hyperlink>
      <w:r>
        <w:rPr>
          <w:sz w:val="20"/>
        </w:rPr>
        <w:t xml:space="preserve">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w:t>
      </w:r>
      <w:hyperlink w:history="0" r:id="rId365"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w:t>
      </w:r>
    </w:p>
    <w:p>
      <w:pPr>
        <w:pStyle w:val="0"/>
        <w:spacing w:before="200" w:line-rule="auto"/>
        <w:ind w:firstLine="540"/>
        <w:jc w:val="both"/>
      </w:pPr>
      <w:r>
        <w:rPr>
          <w:sz w:val="20"/>
        </w:rPr>
        <w:t xml:space="preserve">212. Отдельные виды срочных обязательств финансового характера:</w:t>
      </w:r>
    </w:p>
    <w:p>
      <w:pPr>
        <w:pStyle w:val="0"/>
        <w:spacing w:before="200" w:line-rule="auto"/>
        <w:ind w:firstLine="540"/>
        <w:jc w:val="both"/>
      </w:pPr>
      <w:r>
        <w:rPr>
          <w:sz w:val="20"/>
        </w:rPr>
        <w:t xml:space="preserve">1) участие в долевом строительстве объекта недвижимости. 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w:history="0" r:id="rId36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При этом не имеет значения, оформлялся ли кредитный договор с банком или иной кредитной организацией для оплаты по указанному договору.</w:t>
      </w:r>
    </w:p>
    <w:p>
      <w:pPr>
        <w:pStyle w:val="0"/>
        <w:spacing w:before="200" w:line-rule="auto"/>
        <w:ind w:firstLine="540"/>
        <w:jc w:val="both"/>
      </w:pPr>
      <w:r>
        <w:rPr>
          <w:sz w:val="20"/>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w:history="0" r:id="rId36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 В этом случае в </w:t>
      </w:r>
      <w:hyperlink w:history="0" r:id="rId36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"Кредитор (должник)"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w:t>
      </w:r>
      <w:hyperlink w:history="0" r:id="rId36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"Условие обязательства" можно отразить, что денежные средства переданы застройщику в полном объеме. В </w:t>
      </w:r>
      <w:hyperlink w:history="0" r:id="rId37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"Сумма обязательства/размер обязательства по состоянию на отчетную дату (руб.)"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pPr>
        <w:pStyle w:val="0"/>
        <w:spacing w:before="200" w:line-rule="auto"/>
        <w:ind w:firstLine="540"/>
        <w:jc w:val="both"/>
      </w:pPr>
      <w:r>
        <w:rPr>
          <w:sz w:val="20"/>
        </w:rPr>
        <w:t xml:space="preserve">Данный порядок применяется также в случае использования счетов эскроу.</w:t>
      </w:r>
    </w:p>
    <w:p>
      <w:pPr>
        <w:pStyle w:val="0"/>
        <w:spacing w:before="200" w:line-rule="auto"/>
        <w:ind w:firstLine="540"/>
        <w:jc w:val="both"/>
      </w:pPr>
      <w:r>
        <w:rPr>
          <w:sz w:val="20"/>
        </w:rP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указывается полная стоимость.</w:t>
      </w:r>
    </w:p>
    <w:p>
      <w:pPr>
        <w:pStyle w:val="0"/>
        <w:spacing w:before="200" w:line-rule="auto"/>
        <w:ind w:firstLine="540"/>
        <w:jc w:val="both"/>
      </w:pPr>
      <w:r>
        <w:rPr>
          <w:sz w:val="20"/>
        </w:rPr>
        <w:t xml:space="preserve">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pPr>
        <w:pStyle w:val="0"/>
        <w:spacing w:before="200" w:line-rule="auto"/>
        <w:ind w:firstLine="540"/>
        <w:jc w:val="both"/>
      </w:pPr>
      <w:r>
        <w:rPr>
          <w:sz w:val="20"/>
        </w:rPr>
        <w:t xml:space="preserve">2) обязательства по ипотеке в случае разделения суммы кредита между супругами. Согласно </w:t>
      </w:r>
      <w:hyperlink w:history="0" r:id="rId371" w:tooltip="Федеральный закон от 16.07.1998 N 102-ФЗ (ред. от 20.10.2022) &quot;Об ипотеке (залоге недвижимости)&quot; {КонсультантПлюс}">
        <w:r>
          <w:rPr>
            <w:sz w:val="20"/>
            <w:color w:val="0000ff"/>
          </w:rPr>
          <w:t xml:space="preserve">пунктам 4</w:t>
        </w:r>
      </w:hyperlink>
      <w:r>
        <w:rPr>
          <w:sz w:val="20"/>
        </w:rPr>
        <w:t xml:space="preserve"> и </w:t>
      </w:r>
      <w:hyperlink w:history="0" r:id="rId372" w:tooltip="Федеральный закон от 16.07.1998 N 102-ФЗ (ред. от 20.10.2022) &quot;Об ипотеке (залоге недвижимости)&quot; {КонсультантПлюс}">
        <w:r>
          <w:rPr>
            <w:sz w:val="20"/>
            <w:color w:val="0000ff"/>
          </w:rPr>
          <w:t xml:space="preserve">5 статьи 9</w:t>
        </w:r>
      </w:hyperlink>
      <w:r>
        <w:rPr>
          <w:sz w:val="20"/>
        </w:rP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pPr>
        <w:pStyle w:val="0"/>
        <w:spacing w:before="200" w:line-rule="auto"/>
        <w:ind w:firstLine="540"/>
        <w:jc w:val="both"/>
      </w:pPr>
      <w:r>
        <w:rPr>
          <w:sz w:val="20"/>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w:history="0" r:id="rId37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"Сумма обязательства/размер обязательства по состоянию на отчетную дату (руб.)"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w:history="0" r:id="rId37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"Условие обязательства" названного подраздела указать созаемщиков.</w:t>
      </w:r>
    </w:p>
    <w:bookmarkStart w:id="777" w:name="P777"/>
    <w:bookmarkEnd w:id="777"/>
    <w:p>
      <w:pPr>
        <w:pStyle w:val="0"/>
        <w:spacing w:before="200" w:line-rule="auto"/>
        <w:ind w:firstLine="540"/>
        <w:jc w:val="both"/>
      </w:pPr>
      <w:r>
        <w:rPr>
          <w:sz w:val="20"/>
        </w:rPr>
        <w:t xml:space="preserve">3) обязательства в соответствии с </w:t>
      </w:r>
      <w:hyperlink w:history="0" r:id="rId375" w:tooltip="Закон РФ от 27.11.1992 N 4015-1 (ред. от 04.08.2023) &quot;Об организации страхового дела в Российской Федерации&quot; {КонсультантПлюс}">
        <w:r>
          <w:rPr>
            <w:sz w:val="20"/>
            <w:color w:val="0000ff"/>
          </w:rPr>
          <w:t xml:space="preserve">Законом</w:t>
        </w:r>
      </w:hyperlink>
      <w:r>
        <w:rPr>
          <w:sz w:val="20"/>
        </w:rPr>
        <w:t xml:space="preserve">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w:t>
      </w:r>
      <w:hyperlink w:history="0" r:id="rId376" w:tooltip="Закон РФ от 27.11.1992 N 4015-1 (ред. от 04.08.2023) &quot;Об организации страхового дела в Российской Федерации&quot; {КонсультантПлюс}">
        <w:r>
          <w:rPr>
            <w:sz w:val="20"/>
            <w:color w:val="0000ff"/>
          </w:rPr>
          <w:t xml:space="preserve">Законом</w:t>
        </w:r>
      </w:hyperlink>
      <w:r>
        <w:rPr>
          <w:sz w:val="20"/>
        </w:rPr>
        <w:t xml:space="preserve">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pPr>
        <w:pStyle w:val="0"/>
        <w:spacing w:before="200" w:line-rule="auto"/>
        <w:ind w:firstLine="540"/>
        <w:jc w:val="both"/>
      </w:pPr>
      <w:r>
        <w:rPr>
          <w:sz w:val="20"/>
        </w:rPr>
        <w:t xml:space="preserve">Обязательства, возникающие исходя из условий договора страхования, по иным видам страхования (непоименованным в </w:t>
      </w:r>
      <w:hyperlink w:history="0" w:anchor="P777" w:tooltip="3) обязательства в соответствии с Законом Российской Федерации от 27 ноября 1992 г. N 4015-I &quot;Об организации страхового дела в Российской Федерации&quot;,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w:r>
          <w:rPr>
            <w:sz w:val="20"/>
            <w:color w:val="0000ff"/>
          </w:rPr>
          <w:t xml:space="preserve">абзаце первом</w:t>
        </w:r>
      </w:hyperlink>
      <w:r>
        <w:rPr>
          <w:sz w:val="20"/>
        </w:rPr>
        <w:t xml:space="preserve"> рассматриваемого подпункта) не подлежат отражению в </w:t>
      </w:r>
      <w:hyperlink w:history="0" r:id="rId37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w:t>
      </w:r>
    </w:p>
    <w:p>
      <w:pPr>
        <w:pStyle w:val="0"/>
        <w:spacing w:before="200" w:line-rule="auto"/>
        <w:ind w:firstLine="540"/>
        <w:jc w:val="both"/>
      </w:pPr>
      <w:r>
        <w:rPr>
          <w:sz w:val="20"/>
        </w:rPr>
        <w:t xml:space="preserve">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w:t>
      </w:r>
      <w:hyperlink w:history="0" r:id="rId37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w:t>
      </w:r>
    </w:p>
    <w:p>
      <w:pPr>
        <w:pStyle w:val="0"/>
        <w:spacing w:before="200" w:line-rule="auto"/>
        <w:ind w:firstLine="540"/>
        <w:jc w:val="both"/>
      </w:pPr>
      <w:r>
        <w:rPr>
          <w:sz w:val="20"/>
        </w:rPr>
        <w:t xml:space="preserve">В </w:t>
      </w:r>
      <w:hyperlink w:history="0" r:id="rId37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"Содержание обязательства" указывается вид страхования, в </w:t>
      </w:r>
      <w:hyperlink w:history="0" r:id="rId38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w:t>
      </w:r>
      <w:hyperlink w:history="0" r:id="rId38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"Сумма обязательства" указывается страховая премия по договору. В </w:t>
      </w:r>
      <w:hyperlink w:history="0" r:id="rId38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"Условия обязательства" могут быть указаны сроки окончания договора страхования.</w:t>
      </w:r>
    </w:p>
    <w:p>
      <w:pPr>
        <w:pStyle w:val="0"/>
        <w:spacing w:before="200" w:line-rule="auto"/>
        <w:ind w:firstLine="540"/>
        <w:jc w:val="both"/>
      </w:pPr>
      <w:r>
        <w:rPr>
          <w:sz w:val="20"/>
        </w:rPr>
        <w:t xml:space="preserve">Справку рекомендуется заполнять с учетом сведений, полученных от страховщика в рамках </w:t>
      </w:r>
      <w:hyperlink w:history="0" r:id="rId383"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w:t>
      </w:r>
    </w:p>
    <w:p>
      <w:pPr>
        <w:pStyle w:val="0"/>
        <w:spacing w:before="200" w:line-rule="auto"/>
        <w:ind w:firstLine="540"/>
        <w:jc w:val="both"/>
      </w:pPr>
      <w:r>
        <w:rPr>
          <w:sz w:val="20"/>
        </w:rPr>
        <w:t xml:space="preserve">Также в </w:t>
      </w:r>
      <w:hyperlink w:history="0" r:id="rId384"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Указании</w:t>
        </w:r>
      </w:hyperlink>
      <w:r>
        <w:rPr>
          <w:sz w:val="20"/>
        </w:rP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pPr>
        <w:pStyle w:val="0"/>
        <w:spacing w:before="200" w:line-rule="auto"/>
        <w:ind w:firstLine="540"/>
        <w:jc w:val="both"/>
      </w:pPr>
      <w:r>
        <w:rPr>
          <w:sz w:val="20"/>
        </w:rPr>
        <w:t xml:space="preserve">Обязательное пенсионное страхование не подпадает под регулирование </w:t>
      </w:r>
      <w:hyperlink w:history="0" r:id="rId385" w:tooltip="Закон РФ от 27.11.1992 N 4015-1 (ред. от 04.08.2023) &quot;Об организации страхового дела в Российской Федерации&quot; {КонсультантПлюс}">
        <w:r>
          <w:rPr>
            <w:sz w:val="20"/>
            <w:color w:val="0000ff"/>
          </w:rPr>
          <w:t xml:space="preserve">Законом</w:t>
        </w:r>
      </w:hyperlink>
      <w:r>
        <w:rPr>
          <w:sz w:val="20"/>
        </w:rPr>
        <w:t xml:space="preserve"> Российской Федерации от 27 ноября 1992 г. N 4015-I "Об организации страхового дела в Российской Федерации".</w:t>
      </w:r>
    </w:p>
    <w:bookmarkStart w:id="784" w:name="P784"/>
    <w:bookmarkEnd w:id="784"/>
    <w:p>
      <w:pPr>
        <w:pStyle w:val="0"/>
        <w:spacing w:before="200" w:line-rule="auto"/>
        <w:ind w:firstLine="540"/>
        <w:jc w:val="both"/>
      </w:pPr>
      <w:r>
        <w:rPr>
          <w:sz w:val="20"/>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pPr>
        <w:pStyle w:val="0"/>
        <w:spacing w:before="200" w:line-rule="auto"/>
        <w:ind w:firstLine="540"/>
        <w:jc w:val="both"/>
      </w:pPr>
      <w:r>
        <w:rPr>
          <w:sz w:val="20"/>
        </w:rPr>
        <w:t xml:space="preserve">В </w:t>
      </w:r>
      <w:hyperlink w:history="0" r:id="rId38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w:t>
      </w:r>
      <w:hyperlink w:history="0" w:anchor="P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jc w:val="both"/>
      </w:pPr>
      <w:r>
        <w:rPr>
          <w:sz w:val="20"/>
        </w:rPr>
      </w:r>
    </w:p>
    <w:p>
      <w:pPr>
        <w:pStyle w:val="2"/>
        <w:outlineLvl w:val="1"/>
        <w:jc w:val="center"/>
      </w:pPr>
      <w:hyperlink w:history="0" r:id="rId38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 7</w:t>
        </w:r>
      </w:hyperlink>
      <w:r>
        <w:rPr>
          <w:sz w:val="20"/>
        </w:rPr>
        <w:t xml:space="preserve">. СВЕДЕНИЯ О НЕДВИЖИМОМ ИМУЩЕСТВЕ, ТРАНСПОРТНЫХ</w:t>
      </w:r>
    </w:p>
    <w:p>
      <w:pPr>
        <w:pStyle w:val="2"/>
        <w:jc w:val="center"/>
      </w:pPr>
      <w:r>
        <w:rPr>
          <w:sz w:val="20"/>
        </w:rPr>
        <w:t xml:space="preserve">СРЕДСТВАХ, ЦЕННЫХ БУМАГАХ, ЦИФРОВЫХ ФИНАНСОВЫХ АКТИВАХ,</w:t>
      </w:r>
    </w:p>
    <w:p>
      <w:pPr>
        <w:pStyle w:val="2"/>
        <w:jc w:val="center"/>
      </w:pPr>
      <w:r>
        <w:rPr>
          <w:sz w:val="20"/>
        </w:rPr>
        <w:t xml:space="preserve">ЦИФРОВЫХ ПРАВАХ, ВКЛЮЧАЮЩИХ ОДНОВРЕМЕННО ЦИФРОВЫЕ ФИНАНСОВЫЕ</w:t>
      </w:r>
    </w:p>
    <w:p>
      <w:pPr>
        <w:pStyle w:val="2"/>
        <w:jc w:val="center"/>
      </w:pPr>
      <w:r>
        <w:rPr>
          <w:sz w:val="20"/>
        </w:rPr>
        <w:t xml:space="preserve">АКТИВЫ И ИНЫЕ ЦИФРОВЫЕ ПРАВА, ОБ УТИЛИТАРНЫХ ЦИФРОВЫХ ПРАВАХ</w:t>
      </w:r>
    </w:p>
    <w:p>
      <w:pPr>
        <w:pStyle w:val="2"/>
        <w:jc w:val="center"/>
      </w:pPr>
      <w:r>
        <w:rPr>
          <w:sz w:val="20"/>
        </w:rPr>
        <w:t xml:space="preserve">И ЦИФРОВОЙ ВАЛЮТЕ, ОТЧУЖДЕННЫХ В ТЕЧЕНИЕ ОТЧЕТНОГО ПЕРИОДА</w:t>
      </w:r>
    </w:p>
    <w:p>
      <w:pPr>
        <w:pStyle w:val="2"/>
        <w:jc w:val="center"/>
      </w:pPr>
      <w:r>
        <w:rPr>
          <w:sz w:val="20"/>
        </w:rPr>
        <w:t xml:space="preserve">В РЕЗУЛЬТАТЕ БЕЗВОЗМЕЗДНОЙ СДЕЛКИ</w:t>
      </w:r>
    </w:p>
    <w:p>
      <w:pPr>
        <w:pStyle w:val="0"/>
        <w:jc w:val="both"/>
      </w:pPr>
      <w:r>
        <w:rPr>
          <w:sz w:val="20"/>
        </w:rPr>
      </w:r>
    </w:p>
    <w:p>
      <w:pPr>
        <w:pStyle w:val="0"/>
        <w:ind w:firstLine="540"/>
        <w:jc w:val="both"/>
      </w:pPr>
      <w:r>
        <w:rPr>
          <w:sz w:val="20"/>
        </w:rPr>
        <w:t xml:space="preserve">213. В данном </w:t>
      </w:r>
      <w:hyperlink w:history="0" r:id="rId38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pPr>
        <w:pStyle w:val="0"/>
        <w:spacing w:before="200" w:line-rule="auto"/>
        <w:ind w:firstLine="540"/>
        <w:jc w:val="both"/>
      </w:pPr>
      <w:r>
        <w:rPr>
          <w:sz w:val="20"/>
        </w:rPr>
        <w:t xml:space="preserve">214.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pPr>
        <w:pStyle w:val="0"/>
        <w:spacing w:before="200" w:line-rule="auto"/>
        <w:ind w:firstLine="540"/>
        <w:jc w:val="both"/>
      </w:pPr>
      <w:r>
        <w:rPr>
          <w:sz w:val="20"/>
        </w:rPr>
        <w:t xml:space="preserve">215.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pPr>
        <w:pStyle w:val="0"/>
        <w:spacing w:before="200" w:line-rule="auto"/>
        <w:ind w:firstLine="540"/>
        <w:jc w:val="both"/>
      </w:pPr>
      <w:r>
        <w:rPr>
          <w:sz w:val="20"/>
        </w:rPr>
        <w:t xml:space="preserve">Также подлежит отражению в настоящем </w:t>
      </w:r>
      <w:hyperlink w:history="0" r:id="rId38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pPr>
        <w:pStyle w:val="0"/>
        <w:spacing w:before="200" w:line-rule="auto"/>
        <w:ind w:firstLine="540"/>
        <w:jc w:val="both"/>
      </w:pPr>
      <w:r>
        <w:rPr>
          <w:sz w:val="20"/>
        </w:rPr>
        <w:t xml:space="preserve">216. Уничтоженные объекты имущества не подлежат отражению в данном </w:t>
      </w:r>
      <w:hyperlink w:history="0" r:id="rId39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справки.</w:t>
      </w:r>
    </w:p>
    <w:p>
      <w:pPr>
        <w:pStyle w:val="0"/>
        <w:spacing w:before="200" w:line-rule="auto"/>
        <w:ind w:firstLine="540"/>
        <w:jc w:val="both"/>
      </w:pPr>
      <w:r>
        <w:rPr>
          <w:sz w:val="20"/>
        </w:rPr>
        <w:t xml:space="preserve">217. Договор мены не подлежит отражению в данном </w:t>
      </w:r>
      <w:hyperlink w:history="0" r:id="rId39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справки, так как он является возмездным.</w:t>
      </w:r>
    </w:p>
    <w:p>
      <w:pPr>
        <w:pStyle w:val="0"/>
        <w:spacing w:before="200" w:line-rule="auto"/>
        <w:ind w:firstLine="540"/>
        <w:jc w:val="both"/>
      </w:pPr>
      <w:r>
        <w:rPr>
          <w:sz w:val="20"/>
        </w:rPr>
        <w:t xml:space="preserve">218. Вопросы, связанные с "перераспределением долей", для определения необходимости отражения в данном </w:t>
      </w:r>
      <w:hyperlink w:history="0" r:id="rId39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требуют анализа правоустанавливающих документов, на основании которых осуществлено такое "перераспределение".</w:t>
      </w:r>
    </w:p>
    <w:p>
      <w:pPr>
        <w:pStyle w:val="0"/>
        <w:spacing w:before="200" w:line-rule="auto"/>
        <w:ind w:firstLine="540"/>
        <w:jc w:val="both"/>
      </w:pPr>
      <w:r>
        <w:rPr>
          <w:sz w:val="20"/>
        </w:rPr>
        <w:t xml:space="preserve">219. Каждый объект безвозмездной сделки указывается отдельно.</w:t>
      </w:r>
    </w:p>
    <w:p>
      <w:pPr>
        <w:pStyle w:val="0"/>
        <w:spacing w:before="200" w:line-rule="auto"/>
        <w:ind w:firstLine="540"/>
        <w:jc w:val="both"/>
      </w:pPr>
      <w:r>
        <w:rPr>
          <w:sz w:val="20"/>
        </w:rPr>
        <w:t xml:space="preserve">220. В строках </w:t>
      </w:r>
      <w:hyperlink w:history="0" r:id="rId39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"Земельные участки"</w:t>
        </w:r>
      </w:hyperlink>
      <w:r>
        <w:rPr>
          <w:sz w:val="20"/>
        </w:rPr>
        <w:t xml:space="preserve"> и </w:t>
      </w:r>
      <w:hyperlink w:history="0" r:id="rId39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"Иное недвижимое имущество"</w:t>
        </w:r>
      </w:hyperlink>
      <w:r>
        <w:rPr>
          <w:sz w:val="20"/>
        </w:rPr>
        <w:t xml:space="preserve"> рекомендуется указывать вид недвижимого имущества (в отношении земельных участков следует руководствоваться </w:t>
      </w:r>
      <w:hyperlink w:history="0" w:anchor="P441" w:tooltip="108.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
        <w:r>
          <w:rPr>
            <w:sz w:val="20"/>
            <w:color w:val="0000ff"/>
          </w:rPr>
          <w:t xml:space="preserve">пунктом 108</w:t>
        </w:r>
      </w:hyperlink>
      <w:r>
        <w:rPr>
          <w:sz w:val="20"/>
        </w:rPr>
        <w:t xml:space="preserve"> настоящих Методических рекомендаций), местонахождение (адрес) в соответствии с </w:t>
      </w:r>
      <w:hyperlink w:history="0" w:anchor="P451" w:tooltip="116. Местонахождение (адрес) недвижимого имущества указывается согласно правоустанавливающим документам. При этом указывается:">
        <w:r>
          <w:rPr>
            <w:sz w:val="20"/>
            <w:color w:val="0000ff"/>
          </w:rPr>
          <w:t xml:space="preserve">пунктами 116</w:t>
        </w:r>
      </w:hyperlink>
      <w:r>
        <w:rPr>
          <w:sz w:val="20"/>
        </w:rPr>
        <w:t xml:space="preserve"> и </w:t>
      </w:r>
      <w:hyperlink w:history="0" w:anchor="P458" w:tooltip="117. Если недвижимое имущество находится за рубежом, то указывается:">
        <w:r>
          <w:rPr>
            <w:sz w:val="20"/>
            <w:color w:val="0000ff"/>
          </w:rPr>
          <w:t xml:space="preserve">117</w:t>
        </w:r>
      </w:hyperlink>
      <w:r>
        <w:rPr>
          <w:sz w:val="20"/>
        </w:rPr>
        <w:t xml:space="preserve"> настоящих Методических рекомендаций, площадь (кв. м) в соответствии с </w:t>
      </w:r>
      <w:hyperlink w:history="0" w:anchor="P462" w:tooltip="118.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
        <w:r>
          <w:rPr>
            <w:sz w:val="20"/>
            <w:color w:val="0000ff"/>
          </w:rPr>
          <w:t xml:space="preserve">пунктом 118</w:t>
        </w:r>
      </w:hyperlink>
      <w:r>
        <w:rPr>
          <w:sz w:val="20"/>
        </w:rPr>
        <w:t xml:space="preserve"> настоящих Методических рекомендаций.</w:t>
      </w:r>
    </w:p>
    <w:p>
      <w:pPr>
        <w:pStyle w:val="0"/>
        <w:spacing w:before="200" w:line-rule="auto"/>
        <w:ind w:firstLine="540"/>
        <w:jc w:val="both"/>
      </w:pPr>
      <w:r>
        <w:rPr>
          <w:sz w:val="20"/>
        </w:rPr>
        <w:t xml:space="preserve">221. В </w:t>
      </w:r>
      <w:hyperlink w:history="0" r:id="rId39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"Транспортные средства" рекомендуется указывать вид, марку, модель транспортного средства, год изготовления, место регистрации.</w:t>
      </w:r>
    </w:p>
    <w:p>
      <w:pPr>
        <w:pStyle w:val="0"/>
        <w:spacing w:before="200" w:line-rule="auto"/>
        <w:ind w:firstLine="540"/>
        <w:jc w:val="both"/>
      </w:pPr>
      <w:r>
        <w:rPr>
          <w:sz w:val="20"/>
        </w:rPr>
        <w:t xml:space="preserve">222. В </w:t>
      </w:r>
      <w:hyperlink w:history="0" r:id="rId39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w:t>
      </w:r>
      <w:hyperlink w:history="0" w:anchor="P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history="0" w:anchor="P675" w:tooltip="179. В графе &quot;Наименование и организационно-правовая форма организации&quo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
        <w:r>
          <w:rPr>
            <w:sz w:val="20"/>
            <w:color w:val="0000ff"/>
          </w:rPr>
          <w:t xml:space="preserve">пунктом 179</w:t>
        </w:r>
      </w:hyperlink>
      <w:r>
        <w:rPr>
          <w:sz w:val="20"/>
        </w:rPr>
        <w:t xml:space="preserve"> настоящих Методических рекомендаций, местонахождение организации (адрес) в соответствии с </w:t>
      </w:r>
      <w:hyperlink w:history="0" w:anchor="P677" w:tooltip="180. В графе &quot;Местонахождение организации (адрес)&quo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
        <w:r>
          <w:rPr>
            <w:sz w:val="20"/>
            <w:color w:val="0000ff"/>
          </w:rPr>
          <w:t xml:space="preserve">пунктом 180</w:t>
        </w:r>
      </w:hyperlink>
      <w:r>
        <w:rPr>
          <w:sz w:val="20"/>
        </w:rPr>
        <w:t xml:space="preserve"> настоящих Методических рекомендаций, уставный капитал в соответствии с </w:t>
      </w:r>
      <w:hyperlink w:history="0" w:anchor="P678" w:tooltip="181.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пункта 54 настоящих Методических рекомендаций).">
        <w:r>
          <w:rPr>
            <w:sz w:val="20"/>
            <w:color w:val="0000ff"/>
          </w:rPr>
          <w:t xml:space="preserve">пунктом 181</w:t>
        </w:r>
      </w:hyperlink>
      <w:r>
        <w:rPr>
          <w:sz w:val="20"/>
        </w:rPr>
        <w:t xml:space="preserve"> настоящих Методических рекомендаций, доли участия в соответствии с </w:t>
      </w:r>
      <w:hyperlink w:history="0" w:anchor="P681" w:tooltip="182. Доля участия выражается в процентах от уставного капитала. Для акционерных обществ указываются также номинальная стоимость и количество акций.">
        <w:r>
          <w:rPr>
            <w:sz w:val="20"/>
            <w:color w:val="0000ff"/>
          </w:rPr>
          <w:t xml:space="preserve">пунктом 182</w:t>
        </w:r>
      </w:hyperlink>
      <w:r>
        <w:rPr>
          <w:sz w:val="20"/>
        </w:rPr>
        <w:t xml:space="preserve"> настоящих Методических рекомендаций.</w:t>
      </w:r>
    </w:p>
    <w:p>
      <w:pPr>
        <w:pStyle w:val="0"/>
        <w:spacing w:before="200" w:line-rule="auto"/>
        <w:ind w:firstLine="540"/>
        <w:jc w:val="both"/>
      </w:pPr>
      <w:r>
        <w:rPr>
          <w:sz w:val="20"/>
        </w:rPr>
        <w:t xml:space="preserve">223. В </w:t>
      </w:r>
      <w:hyperlink w:history="0" r:id="rId39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pPr>
        <w:pStyle w:val="0"/>
        <w:spacing w:before="200" w:line-rule="auto"/>
        <w:ind w:firstLine="540"/>
        <w:jc w:val="both"/>
      </w:pPr>
      <w:r>
        <w:rPr>
          <w:sz w:val="20"/>
        </w:rPr>
        <w:t xml:space="preserve">224. В </w:t>
      </w:r>
      <w:hyperlink w:history="0" r:id="rId39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pPr>
        <w:pStyle w:val="0"/>
        <w:spacing w:before="200" w:line-rule="auto"/>
        <w:ind w:firstLine="540"/>
        <w:jc w:val="both"/>
      </w:pPr>
      <w:r>
        <w:rPr>
          <w:sz w:val="20"/>
        </w:rPr>
        <w:t xml:space="preserve">225. В </w:t>
      </w:r>
      <w:hyperlink w:history="0" r:id="rId39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"Утилитарные цифровые права" рекомендуется указывать уникальное условное обозначение, идентифицирующее утилитарное цифровое право.</w:t>
      </w:r>
    </w:p>
    <w:p>
      <w:pPr>
        <w:pStyle w:val="0"/>
        <w:spacing w:before="200" w:line-rule="auto"/>
        <w:ind w:firstLine="540"/>
        <w:jc w:val="both"/>
      </w:pPr>
      <w:r>
        <w:rPr>
          <w:sz w:val="20"/>
        </w:rPr>
        <w:t xml:space="preserve">226. В </w:t>
      </w:r>
      <w:hyperlink w:history="0" r:id="rId40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pPr>
        <w:pStyle w:val="0"/>
        <w:spacing w:before="200" w:line-rule="auto"/>
        <w:ind w:firstLine="540"/>
        <w:jc w:val="both"/>
      </w:pPr>
      <w:r>
        <w:rPr>
          <w:sz w:val="20"/>
        </w:rPr>
        <w:t xml:space="preserve">227. В </w:t>
      </w:r>
      <w:hyperlink w:history="0" r:id="rId40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"Приобретатель имущества (права)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pPr>
        <w:pStyle w:val="0"/>
        <w:spacing w:before="200" w:line-rule="auto"/>
        <w:ind w:firstLine="540"/>
        <w:jc w:val="both"/>
      </w:pPr>
      <w:r>
        <w:rPr>
          <w:sz w:val="20"/>
        </w:rPr>
        <w:t xml:space="preserve">В случае безвозмездной сделки с юридическим лицом в данной </w:t>
      </w:r>
      <w:hyperlink w:history="0" r:id="rId40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pPr>
        <w:pStyle w:val="0"/>
        <w:spacing w:before="200" w:line-rule="auto"/>
        <w:ind w:firstLine="540"/>
        <w:jc w:val="both"/>
      </w:pPr>
      <w:r>
        <w:rPr>
          <w:sz w:val="20"/>
        </w:rPr>
        <w:t xml:space="preserve">228. В </w:t>
      </w:r>
      <w:hyperlink w:history="0" r:id="rId40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"Основание отчуждения имущества (права)"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"Методические рекомендации по вопросам представления сведений о доходах, расходах, об имуществе и обязательствах имущест...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68040&amp;dst=100235" TargetMode = "External"/>
	<Relationship Id="rId8" Type="http://schemas.openxmlformats.org/officeDocument/2006/relationships/hyperlink" Target="https://login.consultant.ru/link/?req=doc&amp;base=LAW&amp;n=450727&amp;dst=100109" TargetMode = "External"/>
	<Relationship Id="rId9" Type="http://schemas.openxmlformats.org/officeDocument/2006/relationships/hyperlink" Target="https://login.consultant.ru/link/?req=doc&amp;base=LAW&amp;n=450727&amp;dst=100154" TargetMode = "External"/>
	<Relationship Id="rId10" Type="http://schemas.openxmlformats.org/officeDocument/2006/relationships/hyperlink" Target="https://login.consultant.ru/link/?req=doc&amp;base=LAW&amp;n=468048&amp;dst=100045" TargetMode = "External"/>
	<Relationship Id="rId11" Type="http://schemas.openxmlformats.org/officeDocument/2006/relationships/hyperlink" Target="https://login.consultant.ru/link/?req=doc&amp;base=LAW&amp;n=442435&amp;dst=60" TargetMode = "External"/>
	<Relationship Id="rId12" Type="http://schemas.openxmlformats.org/officeDocument/2006/relationships/hyperlink" Target="https://login.consultant.ru/link/?req=doc&amp;base=LAW&amp;n=439126" TargetMode = "External"/>
	<Relationship Id="rId13" Type="http://schemas.openxmlformats.org/officeDocument/2006/relationships/hyperlink" Target="https://login.consultant.ru/link/?req=doc&amp;base=LAW&amp;n=467699" TargetMode = "External"/>
	<Relationship Id="rId14" Type="http://schemas.openxmlformats.org/officeDocument/2006/relationships/hyperlink" Target="https://login.consultant.ru/link/?req=doc&amp;base=LAW&amp;n=468048&amp;dst=100045" TargetMode = "External"/>
	<Relationship Id="rId15" Type="http://schemas.openxmlformats.org/officeDocument/2006/relationships/hyperlink" Target="https://login.consultant.ru/link/?req=doc&amp;base=LAW&amp;n=467699&amp;dst=100134" TargetMode = "External"/>
	<Relationship Id="rId16" Type="http://schemas.openxmlformats.org/officeDocument/2006/relationships/hyperlink" Target="https://login.consultant.ru/link/?req=doc&amp;base=LAW&amp;n=468048&amp;dst=100045" TargetMode = "External"/>
	<Relationship Id="rId17" Type="http://schemas.openxmlformats.org/officeDocument/2006/relationships/hyperlink" Target="https://login.consultant.ru/link/?req=doc&amp;base=LAW&amp;n=468048&amp;dst=100045" TargetMode = "External"/>
	<Relationship Id="rId18" Type="http://schemas.openxmlformats.org/officeDocument/2006/relationships/hyperlink" Target="https://login.consultant.ru/link/?req=doc&amp;base=LAW&amp;n=433366" TargetMode = "External"/>
	<Relationship Id="rId19" Type="http://schemas.openxmlformats.org/officeDocument/2006/relationships/hyperlink" Target="https://login.consultant.ru/link/?req=doc&amp;base=LAW&amp;n=470822&amp;dst=100215" TargetMode = "External"/>
	<Relationship Id="rId20" Type="http://schemas.openxmlformats.org/officeDocument/2006/relationships/hyperlink" Target="https://login.consultant.ru/link/?req=doc&amp;base=LAW&amp;n=443002&amp;dst=100011" TargetMode = "External"/>
	<Relationship Id="rId21" Type="http://schemas.openxmlformats.org/officeDocument/2006/relationships/hyperlink" Target="https://login.consultant.ru/link/?req=doc&amp;base=LAW&amp;n=443002&amp;dst=100011" TargetMode = "External"/>
	<Relationship Id="rId22" Type="http://schemas.openxmlformats.org/officeDocument/2006/relationships/hyperlink" Target="https://login.consultant.ru/link/?req=doc&amp;base=LAW&amp;n=464198&amp;dst=1187" TargetMode = "External"/>
	<Relationship Id="rId23" Type="http://schemas.openxmlformats.org/officeDocument/2006/relationships/hyperlink" Target="https://login.consultant.ru/link/?req=doc&amp;base=LAW&amp;n=464198&amp;dst=1187" TargetMode = "External"/>
	<Relationship Id="rId24" Type="http://schemas.openxmlformats.org/officeDocument/2006/relationships/hyperlink" Target="https://login.consultant.ru/link/?req=doc&amp;base=LAW&amp;n=468048&amp;dst=33" TargetMode = "External"/>
	<Relationship Id="rId25" Type="http://schemas.openxmlformats.org/officeDocument/2006/relationships/hyperlink" Target="https://login.consultant.ru/link/?req=doc&amp;base=LAW&amp;n=468048&amp;dst=100045" TargetMode = "External"/>
	<Relationship Id="rId26" Type="http://schemas.openxmlformats.org/officeDocument/2006/relationships/hyperlink" Target="https://login.consultant.ru/link/?req=doc&amp;base=LAW&amp;n=468048&amp;dst=100045" TargetMode = "External"/>
	<Relationship Id="rId27" Type="http://schemas.openxmlformats.org/officeDocument/2006/relationships/hyperlink" Target="https://login.consultant.ru/link/?req=doc&amp;base=LAW&amp;n=468048&amp;dst=100045" TargetMode = "External"/>
	<Relationship Id="rId28" Type="http://schemas.openxmlformats.org/officeDocument/2006/relationships/hyperlink" Target="https://login.consultant.ru/link/?req=doc&amp;base=LAW&amp;n=468048&amp;dst=100045" TargetMode = "External"/>
	<Relationship Id="rId29" Type="http://schemas.openxmlformats.org/officeDocument/2006/relationships/hyperlink" Target="https://login.consultant.ru/link/?req=doc&amp;base=LAW&amp;n=450737&amp;dst=100024" TargetMode = "External"/>
	<Relationship Id="rId30" Type="http://schemas.openxmlformats.org/officeDocument/2006/relationships/hyperlink" Target="https://login.consultant.ru/link/?req=doc&amp;base=LAW&amp;n=468048&amp;dst=100045" TargetMode = "External"/>
	<Relationship Id="rId31" Type="http://schemas.openxmlformats.org/officeDocument/2006/relationships/hyperlink" Target="https://login.consultant.ru/link/?req=doc&amp;base=LAW&amp;n=468048&amp;dst=100045" TargetMode = "External"/>
	<Relationship Id="rId32" Type="http://schemas.openxmlformats.org/officeDocument/2006/relationships/hyperlink" Target="https://login.consultant.ru/link/?req=doc&amp;base=LAW&amp;n=468048&amp;dst=100045" TargetMode = "External"/>
	<Relationship Id="rId33" Type="http://schemas.openxmlformats.org/officeDocument/2006/relationships/hyperlink" Target="https://login.consultant.ru/link/?req=doc&amp;base=LAW&amp;n=453317&amp;dst=100129" TargetMode = "External"/>
	<Relationship Id="rId34" Type="http://schemas.openxmlformats.org/officeDocument/2006/relationships/hyperlink" Target="https://login.consultant.ru/link/?req=doc&amp;base=LAW&amp;n=468048&amp;dst=100045" TargetMode = "External"/>
	<Relationship Id="rId35" Type="http://schemas.openxmlformats.org/officeDocument/2006/relationships/hyperlink" Target="https://login.consultant.ru/link/?req=doc&amp;base=LAW&amp;n=453483&amp;dst=100043" TargetMode = "External"/>
	<Relationship Id="rId36" Type="http://schemas.openxmlformats.org/officeDocument/2006/relationships/hyperlink" Target="https://login.consultant.ru/link/?req=doc&amp;base=LAW&amp;n=453483&amp;dst=100105" TargetMode = "External"/>
	<Relationship Id="rId37" Type="http://schemas.openxmlformats.org/officeDocument/2006/relationships/hyperlink" Target="https://login.consultant.ru/link/?req=doc&amp;base=LAW&amp;n=453483&amp;dst=100043" TargetMode = "External"/>
	<Relationship Id="rId38" Type="http://schemas.openxmlformats.org/officeDocument/2006/relationships/hyperlink" Target="https://login.consultant.ru/link/?req=doc&amp;base=LAW&amp;n=453483&amp;dst=100105" TargetMode = "External"/>
	<Relationship Id="rId39" Type="http://schemas.openxmlformats.org/officeDocument/2006/relationships/hyperlink" Target="https://login.consultant.ru/link/?req=doc&amp;base=LAW&amp;n=443002&amp;dst=100011" TargetMode = "External"/>
	<Relationship Id="rId40" Type="http://schemas.openxmlformats.org/officeDocument/2006/relationships/hyperlink" Target="https://login.consultant.ru/link/?req=doc&amp;base=LAW&amp;n=2875&amp;dst=100222" TargetMode = "External"/>
	<Relationship Id="rId41" Type="http://schemas.openxmlformats.org/officeDocument/2006/relationships/hyperlink" Target="https://login.consultant.ru/link/?req=doc&amp;base=LAW&amp;n=468048&amp;dst=100045" TargetMode = "External"/>
	<Relationship Id="rId42" Type="http://schemas.openxmlformats.org/officeDocument/2006/relationships/hyperlink" Target="https://login.consultant.ru/link/?req=doc&amp;base=LAW&amp;n=468048&amp;dst=100045" TargetMode = "External"/>
	<Relationship Id="rId43" Type="http://schemas.openxmlformats.org/officeDocument/2006/relationships/hyperlink" Target="https://login.consultant.ru/link/?req=doc&amp;base=LAW&amp;n=468064&amp;dst=100172" TargetMode = "External"/>
	<Relationship Id="rId44" Type="http://schemas.openxmlformats.org/officeDocument/2006/relationships/hyperlink" Target="https://login.consultant.ru/link/?req=doc&amp;base=LAW&amp;n=468056&amp;dst=100086" TargetMode = "External"/>
	<Relationship Id="rId45" Type="http://schemas.openxmlformats.org/officeDocument/2006/relationships/hyperlink" Target="https://login.consultant.ru/link/?req=doc&amp;base=LAW&amp;n=450715&amp;dst=100132" TargetMode = "External"/>
	<Relationship Id="rId46" Type="http://schemas.openxmlformats.org/officeDocument/2006/relationships/hyperlink" Target="https://login.consultant.ru/link/?req=doc&amp;base=LAW&amp;n=442435&amp;dst=60" TargetMode = "External"/>
	<Relationship Id="rId47" Type="http://schemas.openxmlformats.org/officeDocument/2006/relationships/hyperlink" Target="https://login.consultant.ru/link/?req=doc&amp;base=LAW&amp;n=464894&amp;dst=337" TargetMode = "External"/>
	<Relationship Id="rId48" Type="http://schemas.openxmlformats.org/officeDocument/2006/relationships/hyperlink" Target="https://login.consultant.ru/link/?req=doc&amp;base=LAW&amp;n=468048&amp;dst=100045" TargetMode = "External"/>
	<Relationship Id="rId49" Type="http://schemas.openxmlformats.org/officeDocument/2006/relationships/hyperlink" Target="https://login.consultant.ru/link/?req=doc&amp;base=LAW&amp;n=468048&amp;dst=100045" TargetMode = "External"/>
	<Relationship Id="rId50" Type="http://schemas.openxmlformats.org/officeDocument/2006/relationships/hyperlink" Target="https://login.consultant.ru/link/?req=doc&amp;base=LAW&amp;n=468048&amp;dst=100045" TargetMode = "External"/>
	<Relationship Id="rId51" Type="http://schemas.openxmlformats.org/officeDocument/2006/relationships/hyperlink" Target="https://login.consultant.ru/link/?req=doc&amp;base=LAW&amp;n=468048&amp;dst=100045" TargetMode = "External"/>
	<Relationship Id="rId52" Type="http://schemas.openxmlformats.org/officeDocument/2006/relationships/hyperlink" Target="https://login.consultant.ru/link/?req=doc&amp;base=LAW&amp;n=389806&amp;dst=100029" TargetMode = "External"/>
	<Relationship Id="rId53" Type="http://schemas.openxmlformats.org/officeDocument/2006/relationships/hyperlink" Target="https://login.consultant.ru/link/?req=doc&amp;base=LAW&amp;n=468048&amp;dst=100045" TargetMode = "External"/>
	<Relationship Id="rId54" Type="http://schemas.openxmlformats.org/officeDocument/2006/relationships/hyperlink" Target="https://login.consultant.ru/link/?req=doc&amp;base=LAW&amp;n=468048&amp;dst=100045" TargetMode = "External"/>
	<Relationship Id="rId55" Type="http://schemas.openxmlformats.org/officeDocument/2006/relationships/hyperlink" Target="https://login.consultant.ru/link/?req=doc&amp;base=LAW&amp;n=468048&amp;dst=33" TargetMode = "External"/>
	<Relationship Id="rId56" Type="http://schemas.openxmlformats.org/officeDocument/2006/relationships/hyperlink" Target="https://login.consultant.ru/link/?req=doc&amp;base=LAW&amp;n=468048&amp;dst=100045" TargetMode = "External"/>
	<Relationship Id="rId57" Type="http://schemas.openxmlformats.org/officeDocument/2006/relationships/hyperlink" Target="https://login.consultant.ru/link/?req=doc&amp;base=LAW&amp;n=468048&amp;dst=100045" TargetMode = "External"/>
	<Relationship Id="rId58" Type="http://schemas.openxmlformats.org/officeDocument/2006/relationships/hyperlink" Target="https://login.consultant.ru/link/?req=doc&amp;base=LAW&amp;n=468048&amp;dst=100045" TargetMode = "External"/>
	<Relationship Id="rId59" Type="http://schemas.openxmlformats.org/officeDocument/2006/relationships/hyperlink" Target="https://login.consultant.ru/link/?req=doc&amp;base=LAW&amp;n=468048&amp;dst=100045" TargetMode = "External"/>
	<Relationship Id="rId60" Type="http://schemas.openxmlformats.org/officeDocument/2006/relationships/hyperlink" Target="https://login.consultant.ru/link/?req=doc&amp;base=LAW&amp;n=468048&amp;dst=100045" TargetMode = "External"/>
	<Relationship Id="rId61" Type="http://schemas.openxmlformats.org/officeDocument/2006/relationships/hyperlink" Target="https://login.consultant.ru/link/?req=doc&amp;base=LAW&amp;n=468048&amp;dst=100045" TargetMode = "External"/>
	<Relationship Id="rId62" Type="http://schemas.openxmlformats.org/officeDocument/2006/relationships/hyperlink" Target="https://login.consultant.ru/link/?req=doc&amp;base=LAW&amp;n=468048&amp;dst=100045" TargetMode = "External"/>
	<Relationship Id="rId63" Type="http://schemas.openxmlformats.org/officeDocument/2006/relationships/hyperlink" Target="https://login.consultant.ru/link/?req=doc&amp;base=LAW&amp;n=468048&amp;dst=100045" TargetMode = "External"/>
	<Relationship Id="rId64" Type="http://schemas.openxmlformats.org/officeDocument/2006/relationships/hyperlink" Target="https://login.consultant.ru/link/?req=doc&amp;base=LAW&amp;n=468048&amp;dst=100045" TargetMode = "External"/>
	<Relationship Id="rId65" Type="http://schemas.openxmlformats.org/officeDocument/2006/relationships/hyperlink" Target="https://login.consultant.ru/link/?req=doc&amp;base=LAW&amp;n=468048&amp;dst=100045" TargetMode = "External"/>
	<Relationship Id="rId66" Type="http://schemas.openxmlformats.org/officeDocument/2006/relationships/hyperlink" Target="https://login.consultant.ru/link/?req=doc&amp;base=LAW&amp;n=468048&amp;dst=100045" TargetMode = "External"/>
	<Relationship Id="rId67" Type="http://schemas.openxmlformats.org/officeDocument/2006/relationships/hyperlink" Target="https://login.consultant.ru/link/?req=doc&amp;base=LAW&amp;n=468048&amp;dst=100045" TargetMode = "External"/>
	<Relationship Id="rId68" Type="http://schemas.openxmlformats.org/officeDocument/2006/relationships/hyperlink" Target="https://login.consultant.ru/link/?req=doc&amp;base=LAW&amp;n=468048&amp;dst=100045" TargetMode = "External"/>
	<Relationship Id="rId69" Type="http://schemas.openxmlformats.org/officeDocument/2006/relationships/hyperlink" Target="https://login.consultant.ru/link/?req=doc&amp;base=LAW&amp;n=468048&amp;dst=100045" TargetMode = "External"/>
	<Relationship Id="rId70" Type="http://schemas.openxmlformats.org/officeDocument/2006/relationships/hyperlink" Target="https://login.consultant.ru/link/?req=doc&amp;base=LAW&amp;n=468048&amp;dst=100045" TargetMode = "External"/>
	<Relationship Id="rId71" Type="http://schemas.openxmlformats.org/officeDocument/2006/relationships/hyperlink" Target="https://login.consultant.ru/link/?req=doc&amp;base=LAW&amp;n=451737" TargetMode = "External"/>
	<Relationship Id="rId72" Type="http://schemas.openxmlformats.org/officeDocument/2006/relationships/hyperlink" Target="https://login.consultant.ru/link/?req=doc&amp;base=LAW&amp;n=468048&amp;dst=100045" TargetMode = "External"/>
	<Relationship Id="rId73" Type="http://schemas.openxmlformats.org/officeDocument/2006/relationships/hyperlink" Target="https://login.consultant.ru/link/?req=doc&amp;base=LAW&amp;n=468048&amp;dst=2" TargetMode = "External"/>
	<Relationship Id="rId74" Type="http://schemas.openxmlformats.org/officeDocument/2006/relationships/hyperlink" Target="https://login.consultant.ru/link/?req=doc&amp;base=LAW&amp;n=468048&amp;dst=2" TargetMode = "External"/>
	<Relationship Id="rId75" Type="http://schemas.openxmlformats.org/officeDocument/2006/relationships/hyperlink" Target="https://login.consultant.ru/link/?req=doc&amp;base=LAW&amp;n=468048&amp;dst=2" TargetMode = "External"/>
	<Relationship Id="rId76" Type="http://schemas.openxmlformats.org/officeDocument/2006/relationships/hyperlink" Target="https://login.consultant.ru/link/?req=doc&amp;base=LAW&amp;n=468048&amp;dst=2" TargetMode = "External"/>
	<Relationship Id="rId77" Type="http://schemas.openxmlformats.org/officeDocument/2006/relationships/hyperlink" Target="https://login.consultant.ru/link/?req=doc&amp;base=LAW&amp;n=468048&amp;dst=2" TargetMode = "External"/>
	<Relationship Id="rId78" Type="http://schemas.openxmlformats.org/officeDocument/2006/relationships/hyperlink" Target="https://login.consultant.ru/link/?req=doc&amp;base=LAW&amp;n=468048&amp;dst=100045" TargetMode = "External"/>
	<Relationship Id="rId79" Type="http://schemas.openxmlformats.org/officeDocument/2006/relationships/hyperlink" Target="https://login.consultant.ru/link/?req=doc&amp;base=LAW&amp;n=468048&amp;dst=100045" TargetMode = "External"/>
	<Relationship Id="rId80" Type="http://schemas.openxmlformats.org/officeDocument/2006/relationships/hyperlink" Target="https://login.consultant.ru/link/?req=doc&amp;base=LAW&amp;n=468048&amp;dst=100045" TargetMode = "External"/>
	<Relationship Id="rId81" Type="http://schemas.openxmlformats.org/officeDocument/2006/relationships/hyperlink" Target="https://login.consultant.ru/link/?req=doc&amp;base=LAW&amp;n=442435&amp;dst=60" TargetMode = "External"/>
	<Relationship Id="rId82" Type="http://schemas.openxmlformats.org/officeDocument/2006/relationships/hyperlink" Target="https://login.consultant.ru/link/?req=doc&amp;base=LAW&amp;n=468048&amp;dst=100045" TargetMode = "External"/>
	<Relationship Id="rId83" Type="http://schemas.openxmlformats.org/officeDocument/2006/relationships/hyperlink" Target="https://login.consultant.ru/link/?req=doc&amp;base=LAW&amp;n=468048&amp;dst=100045" TargetMode = "External"/>
	<Relationship Id="rId84" Type="http://schemas.openxmlformats.org/officeDocument/2006/relationships/hyperlink" Target="https://login.consultant.ru/link/?req=doc&amp;base=LAW&amp;n=468048&amp;dst=100045" TargetMode = "External"/>
	<Relationship Id="rId85" Type="http://schemas.openxmlformats.org/officeDocument/2006/relationships/hyperlink" Target="https://login.consultant.ru/link/?req=doc&amp;base=LAW&amp;n=468048&amp;dst=100045" TargetMode = "External"/>
	<Relationship Id="rId86" Type="http://schemas.openxmlformats.org/officeDocument/2006/relationships/hyperlink" Target="https://login.consultant.ru/link/?req=doc&amp;base=LAW&amp;n=468048&amp;dst=100045" TargetMode = "External"/>
	<Relationship Id="rId87" Type="http://schemas.openxmlformats.org/officeDocument/2006/relationships/hyperlink" Target="https://login.consultant.ru/link/?req=doc&amp;base=LAW&amp;n=468048&amp;dst=7" TargetMode = "External"/>
	<Relationship Id="rId88" Type="http://schemas.openxmlformats.org/officeDocument/2006/relationships/hyperlink" Target="https://login.consultant.ru/link/?req=doc&amp;base=LAW&amp;n=468048&amp;dst=7" TargetMode = "External"/>
	<Relationship Id="rId89" Type="http://schemas.openxmlformats.org/officeDocument/2006/relationships/hyperlink" Target="https://login.consultant.ru/link/?req=doc&amp;base=LAW&amp;n=453770&amp;dst=100396" TargetMode = "External"/>
	<Relationship Id="rId90" Type="http://schemas.openxmlformats.org/officeDocument/2006/relationships/hyperlink" Target="https://login.consultant.ru/link/?req=doc&amp;base=LAW&amp;n=468048&amp;dst=7" TargetMode = "External"/>
	<Relationship Id="rId91" Type="http://schemas.openxmlformats.org/officeDocument/2006/relationships/hyperlink" Target="https://login.consultant.ru/link/?req=doc&amp;base=LAW&amp;n=468048&amp;dst=14" TargetMode = "External"/>
	<Relationship Id="rId92" Type="http://schemas.openxmlformats.org/officeDocument/2006/relationships/hyperlink" Target="https://login.consultant.ru/link/?req=doc&amp;base=LAW&amp;n=430182&amp;dst=101253" TargetMode = "External"/>
	<Relationship Id="rId93" Type="http://schemas.openxmlformats.org/officeDocument/2006/relationships/hyperlink" Target="https://login.consultant.ru/link/?req=doc&amp;base=LAW&amp;n=430182&amp;dst=101253" TargetMode = "External"/>
	<Relationship Id="rId94" Type="http://schemas.openxmlformats.org/officeDocument/2006/relationships/hyperlink" Target="https://login.consultant.ru/link/?req=doc&amp;base=LAW&amp;n=468048&amp;dst=7" TargetMode = "External"/>
	<Relationship Id="rId95" Type="http://schemas.openxmlformats.org/officeDocument/2006/relationships/hyperlink" Target="https://login.consultant.ru/link/?req=doc&amp;base=LAW&amp;n=430182&amp;dst=101253" TargetMode = "External"/>
	<Relationship Id="rId96" Type="http://schemas.openxmlformats.org/officeDocument/2006/relationships/hyperlink" Target="https://login.consultant.ru/link/?req=doc&amp;base=LAW&amp;n=468048&amp;dst=24" TargetMode = "External"/>
	<Relationship Id="rId97" Type="http://schemas.openxmlformats.org/officeDocument/2006/relationships/hyperlink" Target="https://login.consultant.ru/link/?req=doc&amp;base=LAW&amp;n=468048&amp;dst=9" TargetMode = "External"/>
	<Relationship Id="rId98" Type="http://schemas.openxmlformats.org/officeDocument/2006/relationships/hyperlink" Target="https://login.consultant.ru/link/?req=doc&amp;base=LAW&amp;n=439023&amp;dst=100023" TargetMode = "External"/>
	<Relationship Id="rId99" Type="http://schemas.openxmlformats.org/officeDocument/2006/relationships/hyperlink" Target="https://login.consultant.ru/link/?req=doc&amp;base=LAW&amp;n=468048&amp;dst=100045" TargetMode = "External"/>
	<Relationship Id="rId100" Type="http://schemas.openxmlformats.org/officeDocument/2006/relationships/hyperlink" Target="https://login.consultant.ru/link/?req=doc&amp;base=LAW&amp;n=470747&amp;dst=101860" TargetMode = "External"/>
	<Relationship Id="rId101" Type="http://schemas.openxmlformats.org/officeDocument/2006/relationships/hyperlink" Target="https://login.consultant.ru/link/?req=doc&amp;base=LAW&amp;n=375363&amp;dst=46" TargetMode = "External"/>
	<Relationship Id="rId102" Type="http://schemas.openxmlformats.org/officeDocument/2006/relationships/hyperlink" Target="https://login.consultant.ru/link/?req=doc&amp;base=LAW&amp;n=468048&amp;dst=14" TargetMode = "External"/>
	<Relationship Id="rId103" Type="http://schemas.openxmlformats.org/officeDocument/2006/relationships/hyperlink" Target="https://login.consultant.ru/link/?req=doc&amp;base=LAW&amp;n=468048&amp;dst=24" TargetMode = "External"/>
	<Relationship Id="rId104" Type="http://schemas.openxmlformats.org/officeDocument/2006/relationships/hyperlink" Target="https://login.consultant.ru/link/?req=doc&amp;base=LAW&amp;n=468048&amp;dst=7" TargetMode = "External"/>
	<Relationship Id="rId105" Type="http://schemas.openxmlformats.org/officeDocument/2006/relationships/hyperlink" Target="https://login.consultant.ru/link/?req=doc&amp;base=LAW&amp;n=382670" TargetMode = "External"/>
	<Relationship Id="rId106" Type="http://schemas.openxmlformats.org/officeDocument/2006/relationships/hyperlink" Target="https://login.consultant.ru/link/?req=doc&amp;base=LAW&amp;n=468048&amp;dst=16" TargetMode = "External"/>
	<Relationship Id="rId107" Type="http://schemas.openxmlformats.org/officeDocument/2006/relationships/hyperlink" Target="https://login.consultant.ru/link/?req=doc&amp;base=LAW&amp;n=430182&amp;dst=101253" TargetMode = "External"/>
	<Relationship Id="rId108" Type="http://schemas.openxmlformats.org/officeDocument/2006/relationships/hyperlink" Target="https://login.consultant.ru/link/?req=doc&amp;base=LAW&amp;n=468048&amp;dst=14" TargetMode = "External"/>
	<Relationship Id="rId109" Type="http://schemas.openxmlformats.org/officeDocument/2006/relationships/hyperlink" Target="https://login.consultant.ru/link/?req=doc&amp;base=LAW&amp;n=468048&amp;dst=16" TargetMode = "External"/>
	<Relationship Id="rId110" Type="http://schemas.openxmlformats.org/officeDocument/2006/relationships/hyperlink" Target="https://login.consultant.ru/link/?req=doc&amp;base=LAW&amp;n=468048&amp;dst=18" TargetMode = "External"/>
	<Relationship Id="rId111" Type="http://schemas.openxmlformats.org/officeDocument/2006/relationships/hyperlink" Target="https://login.consultant.ru/link/?req=doc&amp;base=LAW&amp;n=468048&amp;dst=16" TargetMode = "External"/>
	<Relationship Id="rId112" Type="http://schemas.openxmlformats.org/officeDocument/2006/relationships/hyperlink" Target="https://login.consultant.ru/link/?req=doc&amp;base=LAW&amp;n=468048&amp;dst=18" TargetMode = "External"/>
	<Relationship Id="rId113" Type="http://schemas.openxmlformats.org/officeDocument/2006/relationships/hyperlink" Target="https://login.consultant.ru/link/?req=doc&amp;base=LAW&amp;n=468048&amp;dst=20" TargetMode = "External"/>
	<Relationship Id="rId114" Type="http://schemas.openxmlformats.org/officeDocument/2006/relationships/hyperlink" Target="https://login.consultant.ru/link/?req=doc&amp;base=LAW&amp;n=468048&amp;dst=100175" TargetMode = "External"/>
	<Relationship Id="rId115" Type="http://schemas.openxmlformats.org/officeDocument/2006/relationships/hyperlink" Target="https://login.consultant.ru/link/?req=doc&amp;base=LAW&amp;n=389806&amp;dst=100029" TargetMode = "External"/>
	<Relationship Id="rId116" Type="http://schemas.openxmlformats.org/officeDocument/2006/relationships/hyperlink" Target="https://login.consultant.ru/link/?req=doc&amp;base=LAW&amp;n=468048&amp;dst=100045" TargetMode = "External"/>
	<Relationship Id="rId117" Type="http://schemas.openxmlformats.org/officeDocument/2006/relationships/hyperlink" Target="https://login.consultant.ru/link/?req=doc&amp;base=LAW&amp;n=468048&amp;dst=100045" TargetMode = "External"/>
	<Relationship Id="rId118" Type="http://schemas.openxmlformats.org/officeDocument/2006/relationships/hyperlink" Target="https://login.consultant.ru/link/?req=doc&amp;base=LAW&amp;n=389806" TargetMode = "External"/>
	<Relationship Id="rId119" Type="http://schemas.openxmlformats.org/officeDocument/2006/relationships/hyperlink" Target="https://login.consultant.ru/link/?req=doc&amp;base=LAW&amp;n=468048&amp;dst=100045" TargetMode = "External"/>
	<Relationship Id="rId120" Type="http://schemas.openxmlformats.org/officeDocument/2006/relationships/hyperlink" Target="https://login.consultant.ru/link/?req=doc&amp;base=LAW&amp;n=468048&amp;dst=22" TargetMode = "External"/>
	<Relationship Id="rId121" Type="http://schemas.openxmlformats.org/officeDocument/2006/relationships/hyperlink" Target="https://login.consultant.ru/link/?req=doc&amp;base=LAW&amp;n=453770" TargetMode = "External"/>
	<Relationship Id="rId122" Type="http://schemas.openxmlformats.org/officeDocument/2006/relationships/hyperlink" Target="https://login.consultant.ru/link/?req=doc&amp;base=LAW&amp;n=470747&amp;dst=13178" TargetMode = "External"/>
	<Relationship Id="rId123" Type="http://schemas.openxmlformats.org/officeDocument/2006/relationships/hyperlink" Target="https://login.consultant.ru/link/?req=doc&amp;base=LAW&amp;n=470747&amp;dst=101069" TargetMode = "External"/>
	<Relationship Id="rId124" Type="http://schemas.openxmlformats.org/officeDocument/2006/relationships/hyperlink" Target="https://login.consultant.ru/link/?req=doc&amp;base=LAW&amp;n=468048&amp;dst=100045" TargetMode = "External"/>
	<Relationship Id="rId125" Type="http://schemas.openxmlformats.org/officeDocument/2006/relationships/hyperlink" Target="https://login.consultant.ru/link/?req=doc&amp;base=LAW&amp;n=468048&amp;dst=100191" TargetMode = "External"/>
	<Relationship Id="rId126" Type="http://schemas.openxmlformats.org/officeDocument/2006/relationships/hyperlink" Target="https://login.consultant.ru/link/?req=doc&amp;base=LAW&amp;n=430182&amp;dst=101253" TargetMode = "External"/>
	<Relationship Id="rId127" Type="http://schemas.openxmlformats.org/officeDocument/2006/relationships/hyperlink" Target="https://login.consultant.ru/link/?req=doc&amp;base=LAW&amp;n=468048&amp;dst=24" TargetMode = "External"/>
	<Relationship Id="rId128" Type="http://schemas.openxmlformats.org/officeDocument/2006/relationships/hyperlink" Target="https://login.consultant.ru/link/?req=doc&amp;base=LAW&amp;n=468048&amp;dst=24" TargetMode = "External"/>
	<Relationship Id="rId129" Type="http://schemas.openxmlformats.org/officeDocument/2006/relationships/hyperlink" Target="https://login.consultant.ru/link/?req=doc&amp;base=LAW&amp;n=430182&amp;dst=101253" TargetMode = "External"/>
	<Relationship Id="rId130" Type="http://schemas.openxmlformats.org/officeDocument/2006/relationships/hyperlink" Target="https://login.consultant.ru/link/?req=doc&amp;base=LAW&amp;n=464870&amp;dst=67" TargetMode = "External"/>
	<Relationship Id="rId131" Type="http://schemas.openxmlformats.org/officeDocument/2006/relationships/hyperlink" Target="https://login.consultant.ru/link/?req=doc&amp;base=LAW&amp;n=468048&amp;dst=100045" TargetMode = "External"/>
	<Relationship Id="rId132" Type="http://schemas.openxmlformats.org/officeDocument/2006/relationships/hyperlink" Target="https://login.consultant.ru/link/?req=doc&amp;base=LAW&amp;n=468048&amp;dst=24" TargetMode = "External"/>
	<Relationship Id="rId133" Type="http://schemas.openxmlformats.org/officeDocument/2006/relationships/hyperlink" Target="https://login.consultant.ru/link/?req=doc&amp;base=LAW&amp;n=468048&amp;dst=100175" TargetMode = "External"/>
	<Relationship Id="rId134" Type="http://schemas.openxmlformats.org/officeDocument/2006/relationships/hyperlink" Target="https://login.consultant.ru/link/?req=doc&amp;base=LAW&amp;n=468048&amp;dst=7" TargetMode = "External"/>
	<Relationship Id="rId135" Type="http://schemas.openxmlformats.org/officeDocument/2006/relationships/hyperlink" Target="https://login.consultant.ru/link/?req=doc&amp;base=LAW&amp;n=468048&amp;dst=100247" TargetMode = "External"/>
	<Relationship Id="rId136" Type="http://schemas.openxmlformats.org/officeDocument/2006/relationships/hyperlink" Target="https://login.consultant.ru/link/?req=doc&amp;base=LAW&amp;n=468048&amp;dst=24" TargetMode = "External"/>
	<Relationship Id="rId137" Type="http://schemas.openxmlformats.org/officeDocument/2006/relationships/hyperlink" Target="https://login.consultant.ru/link/?req=doc&amp;base=LAW&amp;n=468048&amp;dst=22" TargetMode = "External"/>
	<Relationship Id="rId138" Type="http://schemas.openxmlformats.org/officeDocument/2006/relationships/hyperlink" Target="https://login.consultant.ru/link/?req=doc&amp;base=LAW&amp;n=468048&amp;dst=7" TargetMode = "External"/>
	<Relationship Id="rId139" Type="http://schemas.openxmlformats.org/officeDocument/2006/relationships/hyperlink" Target="https://login.consultant.ru/link/?req=doc&amp;base=LAW&amp;n=468048&amp;dst=100134" TargetMode = "External"/>
	<Relationship Id="rId140" Type="http://schemas.openxmlformats.org/officeDocument/2006/relationships/hyperlink" Target="https://login.consultant.ru/link/?req=doc&amp;base=LAW&amp;n=430182&amp;dst=101253" TargetMode = "External"/>
	<Relationship Id="rId141" Type="http://schemas.openxmlformats.org/officeDocument/2006/relationships/hyperlink" Target="https://login.consultant.ru/link/?req=doc&amp;base=LAW&amp;n=468048&amp;dst=14" TargetMode = "External"/>
	<Relationship Id="rId142" Type="http://schemas.openxmlformats.org/officeDocument/2006/relationships/hyperlink" Target="https://login.consultant.ru/link/?req=doc&amp;base=LAW&amp;n=468048&amp;dst=100175" TargetMode = "External"/>
	<Relationship Id="rId143" Type="http://schemas.openxmlformats.org/officeDocument/2006/relationships/hyperlink" Target="https://login.consultant.ru/link/?req=doc&amp;base=LAW&amp;n=468048&amp;dst=16" TargetMode = "External"/>
	<Relationship Id="rId144" Type="http://schemas.openxmlformats.org/officeDocument/2006/relationships/hyperlink" Target="https://login.consultant.ru/link/?req=doc&amp;base=LAW&amp;n=468048&amp;dst=18" TargetMode = "External"/>
	<Relationship Id="rId145" Type="http://schemas.openxmlformats.org/officeDocument/2006/relationships/hyperlink" Target="https://login.consultant.ru/link/?req=doc&amp;base=LAW&amp;n=430182&amp;dst=101253" TargetMode = "External"/>
	<Relationship Id="rId146" Type="http://schemas.openxmlformats.org/officeDocument/2006/relationships/hyperlink" Target="https://login.consultant.ru/link/?req=doc&amp;base=LAW&amp;n=470747&amp;dst=101069" TargetMode = "External"/>
	<Relationship Id="rId147" Type="http://schemas.openxmlformats.org/officeDocument/2006/relationships/hyperlink" Target="https://login.consultant.ru/link/?req=doc&amp;base=LAW&amp;n=468048&amp;dst=24" TargetMode = "External"/>
	<Relationship Id="rId148" Type="http://schemas.openxmlformats.org/officeDocument/2006/relationships/hyperlink" Target="https://login.consultant.ru/link/?req=doc&amp;base=LAW&amp;n=468048&amp;dst=100045" TargetMode = "External"/>
	<Relationship Id="rId149" Type="http://schemas.openxmlformats.org/officeDocument/2006/relationships/hyperlink" Target="https://login.consultant.ru/link/?req=doc&amp;base=LAW&amp;n=468048&amp;dst=24" TargetMode = "External"/>
	<Relationship Id="rId150" Type="http://schemas.openxmlformats.org/officeDocument/2006/relationships/hyperlink" Target="https://login.consultant.ru/link/?req=doc&amp;base=LAW&amp;n=470747&amp;dst=101131" TargetMode = "External"/>
	<Relationship Id="rId151" Type="http://schemas.openxmlformats.org/officeDocument/2006/relationships/hyperlink" Target="https://login.consultant.ru/link/?req=doc&amp;base=LAW&amp;n=468048&amp;dst=100247" TargetMode = "External"/>
	<Relationship Id="rId152" Type="http://schemas.openxmlformats.org/officeDocument/2006/relationships/hyperlink" Target="https://login.consultant.ru/link/?req=doc&amp;base=LAW&amp;n=465536" TargetMode = "External"/>
	<Relationship Id="rId153" Type="http://schemas.openxmlformats.org/officeDocument/2006/relationships/hyperlink" Target="https://login.consultant.ru/link/?req=doc&amp;base=LAW&amp;n=468048&amp;dst=7" TargetMode = "External"/>
	<Relationship Id="rId154" Type="http://schemas.openxmlformats.org/officeDocument/2006/relationships/hyperlink" Target="https://login.consultant.ru/link/?req=doc&amp;base=LAW&amp;n=468048&amp;dst=7" TargetMode = "External"/>
	<Relationship Id="rId155" Type="http://schemas.openxmlformats.org/officeDocument/2006/relationships/hyperlink" Target="https://login.consultant.ru/link/?req=doc&amp;base=LAW&amp;n=468048&amp;dst=33" TargetMode = "External"/>
	<Relationship Id="rId156" Type="http://schemas.openxmlformats.org/officeDocument/2006/relationships/hyperlink" Target="https://login.consultant.ru/link/?req=doc&amp;base=LAW&amp;n=468048&amp;dst=33" TargetMode = "External"/>
	<Relationship Id="rId157" Type="http://schemas.openxmlformats.org/officeDocument/2006/relationships/hyperlink" Target="https://login.consultant.ru/link/?req=doc&amp;base=LAW&amp;n=468048&amp;dst=33" TargetMode = "External"/>
	<Relationship Id="rId158" Type="http://schemas.openxmlformats.org/officeDocument/2006/relationships/hyperlink" Target="https://login.consultant.ru/link/?req=doc&amp;base=LAW&amp;n=468048&amp;dst=36" TargetMode = "External"/>
	<Relationship Id="rId159" Type="http://schemas.openxmlformats.org/officeDocument/2006/relationships/hyperlink" Target="https://login.consultant.ru/link/?req=doc&amp;base=LAW&amp;n=468048&amp;dst=33" TargetMode = "External"/>
	<Relationship Id="rId160" Type="http://schemas.openxmlformats.org/officeDocument/2006/relationships/hyperlink" Target="https://login.consultant.ru/link/?req=doc&amp;base=LAW&amp;n=468048&amp;dst=33" TargetMode = "External"/>
	<Relationship Id="rId161" Type="http://schemas.openxmlformats.org/officeDocument/2006/relationships/hyperlink" Target="https://login.consultant.ru/link/?req=doc&amp;base=LAW&amp;n=468048&amp;dst=33" TargetMode = "External"/>
	<Relationship Id="rId162" Type="http://schemas.openxmlformats.org/officeDocument/2006/relationships/hyperlink" Target="https://login.consultant.ru/link/?req=doc&amp;base=LAW&amp;n=468048&amp;dst=33" TargetMode = "External"/>
	<Relationship Id="rId163" Type="http://schemas.openxmlformats.org/officeDocument/2006/relationships/hyperlink" Target="https://login.consultant.ru/link/?req=doc&amp;base=LAW&amp;n=468048&amp;dst=33" TargetMode = "External"/>
	<Relationship Id="rId164" Type="http://schemas.openxmlformats.org/officeDocument/2006/relationships/hyperlink" Target="https://login.consultant.ru/link/?req=doc&amp;base=LAW&amp;n=468048&amp;dst=33" TargetMode = "External"/>
	<Relationship Id="rId165" Type="http://schemas.openxmlformats.org/officeDocument/2006/relationships/hyperlink" Target="https://login.consultant.ru/link/?req=doc&amp;base=LAW&amp;n=468048&amp;dst=33" TargetMode = "External"/>
	<Relationship Id="rId166" Type="http://schemas.openxmlformats.org/officeDocument/2006/relationships/hyperlink" Target="https://login.consultant.ru/link/?req=doc&amp;base=LAW&amp;n=442435" TargetMode = "External"/>
	<Relationship Id="rId167" Type="http://schemas.openxmlformats.org/officeDocument/2006/relationships/hyperlink" Target="https://login.consultant.ru/link/?req=doc&amp;base=LAW&amp;n=468048&amp;dst=35" TargetMode = "External"/>
	<Relationship Id="rId168" Type="http://schemas.openxmlformats.org/officeDocument/2006/relationships/hyperlink" Target="https://login.consultant.ru/link/?req=doc&amp;base=LAW&amp;n=468048&amp;dst=36" TargetMode = "External"/>
	<Relationship Id="rId169" Type="http://schemas.openxmlformats.org/officeDocument/2006/relationships/hyperlink" Target="https://login.consultant.ru/link/?req=doc&amp;base=LAW&amp;n=468048&amp;dst=37" TargetMode = "External"/>
	<Relationship Id="rId170" Type="http://schemas.openxmlformats.org/officeDocument/2006/relationships/hyperlink" Target="https://login.consultant.ru/link/?req=doc&amp;base=LAW&amp;n=468048&amp;dst=38" TargetMode = "External"/>
	<Relationship Id="rId171" Type="http://schemas.openxmlformats.org/officeDocument/2006/relationships/hyperlink" Target="https://login.consultant.ru/link/?req=doc&amp;base=LAW&amp;n=468048&amp;dst=100045" TargetMode = "External"/>
	<Relationship Id="rId172" Type="http://schemas.openxmlformats.org/officeDocument/2006/relationships/hyperlink" Target="https://login.consultant.ru/link/?req=doc&amp;base=LAW&amp;n=468048&amp;dst=100045" TargetMode = "External"/>
	<Relationship Id="rId173" Type="http://schemas.openxmlformats.org/officeDocument/2006/relationships/hyperlink" Target="https://login.consultant.ru/link/?req=doc&amp;base=LAW&amp;n=468048&amp;dst=33" TargetMode = "External"/>
	<Relationship Id="rId174" Type="http://schemas.openxmlformats.org/officeDocument/2006/relationships/hyperlink" Target="https://login.consultant.ru/link/?req=doc&amp;base=LAW&amp;n=468048&amp;dst=33" TargetMode = "External"/>
	<Relationship Id="rId175" Type="http://schemas.openxmlformats.org/officeDocument/2006/relationships/hyperlink" Target="https://login.consultant.ru/link/?req=doc&amp;base=LAW&amp;n=468048&amp;dst=100247" TargetMode = "External"/>
	<Relationship Id="rId176" Type="http://schemas.openxmlformats.org/officeDocument/2006/relationships/hyperlink" Target="https://login.consultant.ru/link/?req=doc&amp;base=LAW&amp;n=468048&amp;dst=100247" TargetMode = "External"/>
	<Relationship Id="rId177" Type="http://schemas.openxmlformats.org/officeDocument/2006/relationships/hyperlink" Target="https://login.consultant.ru/link/?req=doc&amp;base=LAW&amp;n=468048&amp;dst=100105" TargetMode = "External"/>
	<Relationship Id="rId178" Type="http://schemas.openxmlformats.org/officeDocument/2006/relationships/hyperlink" Target="https://login.consultant.ru/link/?req=doc&amp;base=LAW&amp;n=468048&amp;dst=100104" TargetMode = "External"/>
	<Relationship Id="rId179" Type="http://schemas.openxmlformats.org/officeDocument/2006/relationships/hyperlink" Target="https://login.consultant.ru/link/?req=doc&amp;base=LAW&amp;n=468048&amp;dst=100105" TargetMode = "External"/>
	<Relationship Id="rId180" Type="http://schemas.openxmlformats.org/officeDocument/2006/relationships/hyperlink" Target="https://login.consultant.ru/link/?req=doc&amp;base=LAW&amp;n=452991&amp;dst=100794" TargetMode = "External"/>
	<Relationship Id="rId181" Type="http://schemas.openxmlformats.org/officeDocument/2006/relationships/hyperlink" Target="https://login.consultant.ru/link/?req=doc&amp;base=LAW&amp;n=452991&amp;dst=100794" TargetMode = "External"/>
	<Relationship Id="rId182" Type="http://schemas.openxmlformats.org/officeDocument/2006/relationships/hyperlink" Target="https://login.consultant.ru/link/?req=doc&amp;base=LAW&amp;n=468048&amp;dst=100105" TargetMode = "External"/>
	<Relationship Id="rId183" Type="http://schemas.openxmlformats.org/officeDocument/2006/relationships/hyperlink" Target="https://login.consultant.ru/link/?req=doc&amp;base=LAW&amp;n=468048&amp;dst=100105" TargetMode = "External"/>
	<Relationship Id="rId184" Type="http://schemas.openxmlformats.org/officeDocument/2006/relationships/hyperlink" Target="https://login.consultant.ru/link/?req=doc&amp;base=LAW&amp;n=468048&amp;dst=100105" TargetMode = "External"/>
	<Relationship Id="rId185" Type="http://schemas.openxmlformats.org/officeDocument/2006/relationships/hyperlink" Target="https://login.consultant.ru/link/?req=doc&amp;base=LAW&amp;n=469783&amp;dst=100012" TargetMode = "External"/>
	<Relationship Id="rId186" Type="http://schemas.openxmlformats.org/officeDocument/2006/relationships/hyperlink" Target="https://login.consultant.ru/link/?req=doc&amp;base=LAW&amp;n=468048&amp;dst=100105" TargetMode = "External"/>
	<Relationship Id="rId187" Type="http://schemas.openxmlformats.org/officeDocument/2006/relationships/hyperlink" Target="https://login.consultant.ru/link/?req=doc&amp;base=LAW&amp;n=452991&amp;dst=101177" TargetMode = "External"/>
	<Relationship Id="rId188" Type="http://schemas.openxmlformats.org/officeDocument/2006/relationships/hyperlink" Target="https://login.consultant.ru/link/?req=doc&amp;base=LAW&amp;n=468048&amp;dst=100105" TargetMode = "External"/>
	<Relationship Id="rId189" Type="http://schemas.openxmlformats.org/officeDocument/2006/relationships/hyperlink" Target="https://login.consultant.ru/link/?req=doc&amp;base=LAW&amp;n=468048&amp;dst=100107" TargetMode = "External"/>
	<Relationship Id="rId190" Type="http://schemas.openxmlformats.org/officeDocument/2006/relationships/hyperlink" Target="https://login.consultant.ru/link/?req=doc&amp;base=LAW&amp;n=454116&amp;dst=100011" TargetMode = "External"/>
	<Relationship Id="rId191" Type="http://schemas.openxmlformats.org/officeDocument/2006/relationships/hyperlink" Target="https://login.consultant.ru/link/?req=doc&amp;base=LAW&amp;n=468048&amp;dst=100122" TargetMode = "External"/>
	<Relationship Id="rId192" Type="http://schemas.openxmlformats.org/officeDocument/2006/relationships/hyperlink" Target="https://login.consultant.ru/link/?req=doc&amp;base=LAW&amp;n=468048&amp;dst=100105" TargetMode = "External"/>
	<Relationship Id="rId193" Type="http://schemas.openxmlformats.org/officeDocument/2006/relationships/hyperlink" Target="https://login.consultant.ru/link/?req=doc&amp;base=LAW&amp;n=468048&amp;dst=100231" TargetMode = "External"/>
	<Relationship Id="rId194" Type="http://schemas.openxmlformats.org/officeDocument/2006/relationships/hyperlink" Target="https://login.consultant.ru/link/?req=doc&amp;base=LAW&amp;n=468048&amp;dst=100130" TargetMode = "External"/>
	<Relationship Id="rId195" Type="http://schemas.openxmlformats.org/officeDocument/2006/relationships/hyperlink" Target="https://login.consultant.ru/link/?req=doc&amp;base=LAW&amp;n=468048&amp;dst=100105" TargetMode = "External"/>
	<Relationship Id="rId196" Type="http://schemas.openxmlformats.org/officeDocument/2006/relationships/hyperlink" Target="https://login.consultant.ru/link/?req=doc&amp;base=LAW&amp;n=468048&amp;dst=100231" TargetMode = "External"/>
	<Relationship Id="rId197" Type="http://schemas.openxmlformats.org/officeDocument/2006/relationships/hyperlink" Target="https://login.consultant.ru/link/?req=doc&amp;base=LAW&amp;n=468048&amp;dst=100108" TargetMode = "External"/>
	<Relationship Id="rId198" Type="http://schemas.openxmlformats.org/officeDocument/2006/relationships/hyperlink" Target="https://login.consultant.ru/link/?req=doc&amp;base=LAW&amp;n=452991" TargetMode = "External"/>
	<Relationship Id="rId199" Type="http://schemas.openxmlformats.org/officeDocument/2006/relationships/hyperlink" Target="https://login.consultant.ru/link/?req=doc&amp;base=LAW&amp;n=468048&amp;dst=100045" TargetMode = "External"/>
	<Relationship Id="rId200" Type="http://schemas.openxmlformats.org/officeDocument/2006/relationships/hyperlink" Target="https://login.consultant.ru/link/?req=doc&amp;base=LAW&amp;n=468048&amp;dst=100108" TargetMode = "External"/>
	<Relationship Id="rId201" Type="http://schemas.openxmlformats.org/officeDocument/2006/relationships/hyperlink" Target="https://login.consultant.ru/link/?req=doc&amp;base=LAW&amp;n=468048&amp;dst=100045" TargetMode = "External"/>
	<Relationship Id="rId202" Type="http://schemas.openxmlformats.org/officeDocument/2006/relationships/hyperlink" Target="https://login.consultant.ru/link/?req=doc&amp;base=LAW&amp;n=452778" TargetMode = "External"/>
	<Relationship Id="rId203" Type="http://schemas.openxmlformats.org/officeDocument/2006/relationships/hyperlink" Target="https://login.consultant.ru/link/?req=doc&amp;base=LAW&amp;n=452991&amp;dst=101196" TargetMode = "External"/>
	<Relationship Id="rId204" Type="http://schemas.openxmlformats.org/officeDocument/2006/relationships/hyperlink" Target="https://login.consultant.ru/link/?req=doc&amp;base=LAW&amp;n=468048&amp;dst=100105" TargetMode = "External"/>
	<Relationship Id="rId205" Type="http://schemas.openxmlformats.org/officeDocument/2006/relationships/hyperlink" Target="https://login.consultant.ru/link/?req=doc&amp;base=LAW&amp;n=468048&amp;dst=100231" TargetMode = "External"/>
	<Relationship Id="rId206" Type="http://schemas.openxmlformats.org/officeDocument/2006/relationships/hyperlink" Target="https://login.consultant.ru/link/?req=doc&amp;base=LAW&amp;n=201820" TargetMode = "External"/>
	<Relationship Id="rId207" Type="http://schemas.openxmlformats.org/officeDocument/2006/relationships/hyperlink" Target="https://login.consultant.ru/link/?req=doc&amp;base=LAW&amp;n=201820" TargetMode = "External"/>
	<Relationship Id="rId208" Type="http://schemas.openxmlformats.org/officeDocument/2006/relationships/hyperlink" Target="https://login.consultant.ru/link/?req=doc&amp;base=LAW&amp;n=451740&amp;dst=100011" TargetMode = "External"/>
	<Relationship Id="rId209" Type="http://schemas.openxmlformats.org/officeDocument/2006/relationships/hyperlink" Target="https://login.consultant.ru/link/?req=doc&amp;base=LAW&amp;n=465560&amp;dst=100102" TargetMode = "External"/>
	<Relationship Id="rId210" Type="http://schemas.openxmlformats.org/officeDocument/2006/relationships/hyperlink" Target="https://login.consultant.ru/link/?req=doc&amp;base=LAW&amp;n=465556&amp;dst=100102" TargetMode = "External"/>
	<Relationship Id="rId211" Type="http://schemas.openxmlformats.org/officeDocument/2006/relationships/hyperlink" Target="https://login.consultant.ru/link/?req=doc&amp;base=LAW&amp;n=465558&amp;dst=100100" TargetMode = "External"/>
	<Relationship Id="rId212" Type="http://schemas.openxmlformats.org/officeDocument/2006/relationships/hyperlink" Target="https://login.consultant.ru/link/?req=doc&amp;base=LAW&amp;n=465559&amp;dst=100100" TargetMode = "External"/>
	<Relationship Id="rId213" Type="http://schemas.openxmlformats.org/officeDocument/2006/relationships/hyperlink" Target="https://login.consultant.ru/link/?req=doc&amp;base=LAW&amp;n=468048&amp;dst=100138" TargetMode = "External"/>
	<Relationship Id="rId214" Type="http://schemas.openxmlformats.org/officeDocument/2006/relationships/hyperlink" Target="https://login.consultant.ru/link/?req=doc&amp;base=LAW&amp;n=468048&amp;dst=100138" TargetMode = "External"/>
	<Relationship Id="rId215" Type="http://schemas.openxmlformats.org/officeDocument/2006/relationships/hyperlink" Target="https://login.consultant.ru/link/?req=doc&amp;base=LAW&amp;n=468048&amp;dst=100138" TargetMode = "External"/>
	<Relationship Id="rId216" Type="http://schemas.openxmlformats.org/officeDocument/2006/relationships/hyperlink" Target="https://login.consultant.ru/link/?req=doc&amp;base=LAW&amp;n=433565&amp;dst=100017" TargetMode = "External"/>
	<Relationship Id="rId217" Type="http://schemas.openxmlformats.org/officeDocument/2006/relationships/hyperlink" Target="https://login.consultant.ru/link/?req=doc&amp;base=LAW&amp;n=468048&amp;dst=100138" TargetMode = "External"/>
	<Relationship Id="rId218" Type="http://schemas.openxmlformats.org/officeDocument/2006/relationships/hyperlink" Target="https://login.consultant.ru/link/?req=doc&amp;base=LAW&amp;n=468048&amp;dst=100138" TargetMode = "External"/>
	<Relationship Id="rId219" Type="http://schemas.openxmlformats.org/officeDocument/2006/relationships/hyperlink" Target="https://login.consultant.ru/link/?req=doc&amp;base=LAW&amp;n=468048&amp;dst=7" TargetMode = "External"/>
	<Relationship Id="rId220" Type="http://schemas.openxmlformats.org/officeDocument/2006/relationships/hyperlink" Target="https://login.consultant.ru/link/?req=doc&amp;base=ARB&amp;n=580226" TargetMode = "External"/>
	<Relationship Id="rId221" Type="http://schemas.openxmlformats.org/officeDocument/2006/relationships/hyperlink" Target="https://login.consultant.ru/link/?req=doc&amp;base=LAW&amp;n=468048&amp;dst=100138" TargetMode = "External"/>
	<Relationship Id="rId222" Type="http://schemas.openxmlformats.org/officeDocument/2006/relationships/hyperlink" Target="https://login.consultant.ru/link/?req=doc&amp;base=LAW&amp;n=468048&amp;dst=100142" TargetMode = "External"/>
	<Relationship Id="rId223" Type="http://schemas.openxmlformats.org/officeDocument/2006/relationships/hyperlink" Target="https://login.consultant.ru/link/?req=doc&amp;base=LAW&amp;n=468048&amp;dst=100138" TargetMode = "External"/>
	<Relationship Id="rId224" Type="http://schemas.openxmlformats.org/officeDocument/2006/relationships/hyperlink" Target="https://login.consultant.ru/link/?req=doc&amp;base=LAW&amp;n=468048&amp;dst=100171" TargetMode = "External"/>
	<Relationship Id="rId225" Type="http://schemas.openxmlformats.org/officeDocument/2006/relationships/hyperlink" Target="https://login.consultant.ru/link/?req=doc&amp;base=LAW&amp;n=468048&amp;dst=73" TargetMode = "External"/>
	<Relationship Id="rId226" Type="http://schemas.openxmlformats.org/officeDocument/2006/relationships/hyperlink" Target="https://login.consultant.ru/link/?req=doc&amp;base=LAW&amp;n=452991&amp;dst=11050" TargetMode = "External"/>
	<Relationship Id="rId227" Type="http://schemas.openxmlformats.org/officeDocument/2006/relationships/hyperlink" Target="https://login.consultant.ru/link/?req=doc&amp;base=LAW&amp;n=454039&amp;dst=100008" TargetMode = "External"/>
	<Relationship Id="rId228" Type="http://schemas.openxmlformats.org/officeDocument/2006/relationships/hyperlink" Target="https://login.consultant.ru/link/?req=doc&amp;base=LAW&amp;n=454039" TargetMode = "External"/>
	<Relationship Id="rId229" Type="http://schemas.openxmlformats.org/officeDocument/2006/relationships/hyperlink" Target="https://login.consultant.ru/link/?req=doc&amp;base=LAW&amp;n=454039" TargetMode = "External"/>
	<Relationship Id="rId230" Type="http://schemas.openxmlformats.org/officeDocument/2006/relationships/hyperlink" Target="https://login.consultant.ru/link/?req=doc&amp;base=LAW&amp;n=468048&amp;dst=75" TargetMode = "External"/>
	<Relationship Id="rId231" Type="http://schemas.openxmlformats.org/officeDocument/2006/relationships/hyperlink" Target="https://login.consultant.ru/link/?req=doc&amp;base=LAW&amp;n=468048&amp;dst=76" TargetMode = "External"/>
	<Relationship Id="rId232" Type="http://schemas.openxmlformats.org/officeDocument/2006/relationships/hyperlink" Target="https://login.consultant.ru/link/?req=doc&amp;base=LAW&amp;n=468048&amp;dst=77" TargetMode = "External"/>
	<Relationship Id="rId233" Type="http://schemas.openxmlformats.org/officeDocument/2006/relationships/hyperlink" Target="https://login.consultant.ru/link/?req=doc&amp;base=LAW&amp;n=468048&amp;dst=78" TargetMode = "External"/>
	<Relationship Id="rId234" Type="http://schemas.openxmlformats.org/officeDocument/2006/relationships/hyperlink" Target="https://login.consultant.ru/link/?req=doc&amp;base=LAW&amp;n=468048&amp;dst=88" TargetMode = "External"/>
	<Relationship Id="rId235" Type="http://schemas.openxmlformats.org/officeDocument/2006/relationships/hyperlink" Target="https://login.consultant.ru/link/?req=doc&amp;base=LAW&amp;n=454017&amp;dst=100076" TargetMode = "External"/>
	<Relationship Id="rId236" Type="http://schemas.openxmlformats.org/officeDocument/2006/relationships/hyperlink" Target="https://login.consultant.ru/link/?req=doc&amp;base=LAW&amp;n=454017&amp;dst=100145" TargetMode = "External"/>
	<Relationship Id="rId237" Type="http://schemas.openxmlformats.org/officeDocument/2006/relationships/hyperlink" Target="https://login.consultant.ru/link/?req=doc&amp;base=LAW&amp;n=454017&amp;dst=100056" TargetMode = "External"/>
	<Relationship Id="rId238" Type="http://schemas.openxmlformats.org/officeDocument/2006/relationships/hyperlink" Target="https://login.consultant.ru/link/?req=doc&amp;base=LAW&amp;n=468048&amp;dst=88" TargetMode = "External"/>
	<Relationship Id="rId239" Type="http://schemas.openxmlformats.org/officeDocument/2006/relationships/hyperlink" Target="https://login.consultant.ru/link/?req=doc&amp;base=LAW&amp;n=468048&amp;dst=90" TargetMode = "External"/>
	<Relationship Id="rId240" Type="http://schemas.openxmlformats.org/officeDocument/2006/relationships/hyperlink" Target="https://login.consultant.ru/link/?req=doc&amp;base=LAW&amp;n=468048&amp;dst=91" TargetMode = "External"/>
	<Relationship Id="rId241" Type="http://schemas.openxmlformats.org/officeDocument/2006/relationships/hyperlink" Target="https://login.consultant.ru/link/?req=doc&amp;base=LAW&amp;n=468048&amp;dst=92" TargetMode = "External"/>
	<Relationship Id="rId242" Type="http://schemas.openxmlformats.org/officeDocument/2006/relationships/hyperlink" Target="https://login.consultant.ru/link/?req=doc&amp;base=LAW&amp;n=454017&amp;dst=100015" TargetMode = "External"/>
	<Relationship Id="rId243" Type="http://schemas.openxmlformats.org/officeDocument/2006/relationships/hyperlink" Target="https://login.consultant.ru/link/?req=doc&amp;base=LAW&amp;n=468048&amp;dst=93" TargetMode = "External"/>
	<Relationship Id="rId244" Type="http://schemas.openxmlformats.org/officeDocument/2006/relationships/hyperlink" Target="https://login.consultant.ru/link/?req=doc&amp;base=LAW&amp;n=468048&amp;dst=105" TargetMode = "External"/>
	<Relationship Id="rId245" Type="http://schemas.openxmlformats.org/officeDocument/2006/relationships/hyperlink" Target="https://login.consultant.ru/link/?req=doc&amp;base=LAW&amp;n=454039&amp;dst=100008" TargetMode = "External"/>
	<Relationship Id="rId246" Type="http://schemas.openxmlformats.org/officeDocument/2006/relationships/hyperlink" Target="https://login.consultant.ru/link/?req=doc&amp;base=LAW&amp;n=468048&amp;dst=107" TargetMode = "External"/>
	<Relationship Id="rId247" Type="http://schemas.openxmlformats.org/officeDocument/2006/relationships/hyperlink" Target="https://login.consultant.ru/link/?req=doc&amp;base=LAW&amp;n=468048&amp;dst=108" TargetMode = "External"/>
	<Relationship Id="rId248" Type="http://schemas.openxmlformats.org/officeDocument/2006/relationships/hyperlink" Target="https://login.consultant.ru/link/?req=doc&amp;base=LAW&amp;n=468048&amp;dst=109" TargetMode = "External"/>
	<Relationship Id="rId249" Type="http://schemas.openxmlformats.org/officeDocument/2006/relationships/hyperlink" Target="https://login.consultant.ru/link/?req=doc&amp;base=LAW&amp;n=468048&amp;dst=100175" TargetMode = "External"/>
	<Relationship Id="rId250" Type="http://schemas.openxmlformats.org/officeDocument/2006/relationships/hyperlink" Target="https://login.consultant.ru/link/?req=doc&amp;base=LAW&amp;n=468048&amp;dst=100175" TargetMode = "External"/>
	<Relationship Id="rId251" Type="http://schemas.openxmlformats.org/officeDocument/2006/relationships/hyperlink" Target="https://login.consultant.ru/link/?req=doc&amp;base=LAW&amp;n=468048&amp;dst=100175" TargetMode = "External"/>
	<Relationship Id="rId252" Type="http://schemas.openxmlformats.org/officeDocument/2006/relationships/hyperlink" Target="https://login.consultant.ru/link/?req=doc&amp;base=LAW&amp;n=468048&amp;dst=100175" TargetMode = "External"/>
	<Relationship Id="rId253" Type="http://schemas.openxmlformats.org/officeDocument/2006/relationships/hyperlink" Target="https://login.consultant.ru/link/?req=doc&amp;base=LAW&amp;n=468048&amp;dst=100175" TargetMode = "External"/>
	<Relationship Id="rId254" Type="http://schemas.openxmlformats.org/officeDocument/2006/relationships/hyperlink" Target="https://login.consultant.ru/link/?req=doc&amp;base=LAW&amp;n=451740" TargetMode = "External"/>
	<Relationship Id="rId255" Type="http://schemas.openxmlformats.org/officeDocument/2006/relationships/hyperlink" Target="https://login.consultant.ru/link/?req=doc&amp;base=LAW&amp;n=468048&amp;dst=100175" TargetMode = "External"/>
	<Relationship Id="rId256" Type="http://schemas.openxmlformats.org/officeDocument/2006/relationships/hyperlink" Target="https://login.consultant.ru/link/?req=doc&amp;base=LAW&amp;n=465536" TargetMode = "External"/>
	<Relationship Id="rId257" Type="http://schemas.openxmlformats.org/officeDocument/2006/relationships/hyperlink" Target="https://login.consultant.ru/link/?req=doc&amp;base=LAW&amp;n=468048&amp;dst=100247" TargetMode = "External"/>
	<Relationship Id="rId258" Type="http://schemas.openxmlformats.org/officeDocument/2006/relationships/hyperlink" Target="https://login.consultant.ru/link/?req=doc&amp;base=LAW&amp;n=389806" TargetMode = "External"/>
	<Relationship Id="rId259" Type="http://schemas.openxmlformats.org/officeDocument/2006/relationships/hyperlink" Target="https://login.consultant.ru/link/?req=doc&amp;base=LAW&amp;n=389806" TargetMode = "External"/>
	<Relationship Id="rId260" Type="http://schemas.openxmlformats.org/officeDocument/2006/relationships/hyperlink" Target="https://login.consultant.ru/link/?req=doc&amp;base=LAW&amp;n=468048&amp;dst=100175" TargetMode = "External"/>
	<Relationship Id="rId261" Type="http://schemas.openxmlformats.org/officeDocument/2006/relationships/hyperlink" Target="https://login.consultant.ru/link/?req=doc&amp;base=LAW&amp;n=389806" TargetMode = "External"/>
	<Relationship Id="rId262" Type="http://schemas.openxmlformats.org/officeDocument/2006/relationships/hyperlink" Target="https://login.consultant.ru/link/?req=doc&amp;base=LAW&amp;n=468048&amp;dst=100177" TargetMode = "External"/>
	<Relationship Id="rId263" Type="http://schemas.openxmlformats.org/officeDocument/2006/relationships/hyperlink" Target="https://login.consultant.ru/link/?req=doc&amp;base=LAW&amp;n=468048&amp;dst=100178" TargetMode = "External"/>
	<Relationship Id="rId264" Type="http://schemas.openxmlformats.org/officeDocument/2006/relationships/hyperlink" Target="https://login.consultant.ru/link/?req=doc&amp;base=LAW&amp;n=452991" TargetMode = "External"/>
	<Relationship Id="rId265" Type="http://schemas.openxmlformats.org/officeDocument/2006/relationships/hyperlink" Target="https://login.consultant.ru/link/?req=doc&amp;base=LAW&amp;n=448154" TargetMode = "External"/>
	<Relationship Id="rId266" Type="http://schemas.openxmlformats.org/officeDocument/2006/relationships/hyperlink" Target="https://login.consultant.ru/link/?req=doc&amp;base=LAW&amp;n=448154" TargetMode = "External"/>
	<Relationship Id="rId267" Type="http://schemas.openxmlformats.org/officeDocument/2006/relationships/hyperlink" Target="https://login.consultant.ru/link/?req=doc&amp;base=LAW&amp;n=468048&amp;dst=100175" TargetMode = "External"/>
	<Relationship Id="rId268" Type="http://schemas.openxmlformats.org/officeDocument/2006/relationships/hyperlink" Target="https://login.consultant.ru/link/?req=doc&amp;base=LAW&amp;n=468048&amp;dst=100175" TargetMode = "External"/>
	<Relationship Id="rId269" Type="http://schemas.openxmlformats.org/officeDocument/2006/relationships/hyperlink" Target="https://login.consultant.ru/link/?req=doc&amp;base=LAW&amp;n=468048&amp;dst=100179" TargetMode = "External"/>
	<Relationship Id="rId270" Type="http://schemas.openxmlformats.org/officeDocument/2006/relationships/hyperlink" Target="https://login.consultant.ru/link/?req=doc&amp;base=LAW&amp;n=468048&amp;dst=100180" TargetMode = "External"/>
	<Relationship Id="rId271" Type="http://schemas.openxmlformats.org/officeDocument/2006/relationships/hyperlink" Target="https://login.consultant.ru/link/?req=doc&amp;base=LAW&amp;n=449455&amp;dst=297" TargetMode = "External"/>
	<Relationship Id="rId272" Type="http://schemas.openxmlformats.org/officeDocument/2006/relationships/hyperlink" Target="https://login.consultant.ru/link/?req=doc&amp;base=LAW&amp;n=468048&amp;dst=100180" TargetMode = "External"/>
	<Relationship Id="rId273" Type="http://schemas.openxmlformats.org/officeDocument/2006/relationships/hyperlink" Target="https://login.consultant.ru/link/?req=doc&amp;base=LAW&amp;n=125062" TargetMode = "External"/>
	<Relationship Id="rId274" Type="http://schemas.openxmlformats.org/officeDocument/2006/relationships/hyperlink" Target="https://login.consultant.ru/link/?req=doc&amp;base=LAW&amp;n=468048&amp;dst=100181" TargetMode = "External"/>
	<Relationship Id="rId275" Type="http://schemas.openxmlformats.org/officeDocument/2006/relationships/hyperlink" Target="https://login.consultant.ru/link/?req=doc&amp;base=LAW&amp;n=468048&amp;dst=100181" TargetMode = "External"/>
	<Relationship Id="rId276" Type="http://schemas.openxmlformats.org/officeDocument/2006/relationships/hyperlink" Target="https://login.consultant.ru/link/?req=doc&amp;base=LAW&amp;n=468048&amp;dst=100045" TargetMode = "External"/>
	<Relationship Id="rId277" Type="http://schemas.openxmlformats.org/officeDocument/2006/relationships/hyperlink" Target="https://login.consultant.ru/link/?req=doc&amp;base=LAW&amp;n=468048&amp;dst=100181" TargetMode = "External"/>
	<Relationship Id="rId278" Type="http://schemas.openxmlformats.org/officeDocument/2006/relationships/hyperlink" Target="https://login.consultant.ru/link/?req=doc&amp;base=LAW&amp;n=468048&amp;dst=100181" TargetMode = "External"/>
	<Relationship Id="rId279" Type="http://schemas.openxmlformats.org/officeDocument/2006/relationships/hyperlink" Target="https://login.consultant.ru/link/?req=doc&amp;base=LAW&amp;n=468048&amp;dst=100181" TargetMode = "External"/>
	<Relationship Id="rId280" Type="http://schemas.openxmlformats.org/officeDocument/2006/relationships/hyperlink" Target="https://login.consultant.ru/link/?req=doc&amp;base=LAW&amp;n=468048&amp;dst=100181" TargetMode = "External"/>
	<Relationship Id="rId281" Type="http://schemas.openxmlformats.org/officeDocument/2006/relationships/hyperlink" Target="https://login.consultant.ru/link/?req=doc&amp;base=LAW&amp;n=468048&amp;dst=7" TargetMode = "External"/>
	<Relationship Id="rId282" Type="http://schemas.openxmlformats.org/officeDocument/2006/relationships/hyperlink" Target="https://login.consultant.ru/link/?req=doc&amp;base=LAW&amp;n=468048&amp;dst=100175" TargetMode = "External"/>
	<Relationship Id="rId283" Type="http://schemas.openxmlformats.org/officeDocument/2006/relationships/hyperlink" Target="https://login.consultant.ru/link/?req=doc&amp;base=LAW&amp;n=468048&amp;dst=100181" TargetMode = "External"/>
	<Relationship Id="rId284" Type="http://schemas.openxmlformats.org/officeDocument/2006/relationships/hyperlink" Target="https://login.consultant.ru/link/?req=doc&amp;base=LAW&amp;n=468048&amp;dst=100181" TargetMode = "External"/>
	<Relationship Id="rId285" Type="http://schemas.openxmlformats.org/officeDocument/2006/relationships/hyperlink" Target="https://login.consultant.ru/link/?req=doc&amp;base=LAW&amp;n=468048&amp;dst=100181" TargetMode = "External"/>
	<Relationship Id="rId286" Type="http://schemas.openxmlformats.org/officeDocument/2006/relationships/hyperlink" Target="https://login.consultant.ru/link/?req=doc&amp;base=LAW&amp;n=468048&amp;dst=100181" TargetMode = "External"/>
	<Relationship Id="rId287" Type="http://schemas.openxmlformats.org/officeDocument/2006/relationships/hyperlink" Target="https://login.consultant.ru/link/?req=doc&amp;base=LAW&amp;n=468048&amp;dst=100181" TargetMode = "External"/>
	<Relationship Id="rId288" Type="http://schemas.openxmlformats.org/officeDocument/2006/relationships/hyperlink" Target="https://login.consultant.ru/link/?req=doc&amp;base=LAW&amp;n=468048&amp;dst=100181" TargetMode = "External"/>
	<Relationship Id="rId289" Type="http://schemas.openxmlformats.org/officeDocument/2006/relationships/hyperlink" Target="https://login.consultant.ru/link/?req=doc&amp;base=LAW&amp;n=468048&amp;dst=100175" TargetMode = "External"/>
	<Relationship Id="rId290" Type="http://schemas.openxmlformats.org/officeDocument/2006/relationships/hyperlink" Target="https://login.consultant.ru/link/?req=doc&amp;base=LAW&amp;n=389806" TargetMode = "External"/>
	<Relationship Id="rId291" Type="http://schemas.openxmlformats.org/officeDocument/2006/relationships/hyperlink" Target="https://login.consultant.ru/link/?req=doc&amp;base=LAW&amp;n=389806" TargetMode = "External"/>
	<Relationship Id="rId292" Type="http://schemas.openxmlformats.org/officeDocument/2006/relationships/hyperlink" Target="https://login.consultant.ru/link/?req=doc&amp;base=LAW&amp;n=468048&amp;dst=100247" TargetMode = "External"/>
	<Relationship Id="rId293" Type="http://schemas.openxmlformats.org/officeDocument/2006/relationships/hyperlink" Target="https://login.consultant.ru/link/?req=doc&amp;base=LAW&amp;n=468048&amp;dst=100247" TargetMode = "External"/>
	<Relationship Id="rId294" Type="http://schemas.openxmlformats.org/officeDocument/2006/relationships/hyperlink" Target="https://login.consultant.ru/link/?req=doc&amp;base=LAW&amp;n=468048&amp;dst=100175" TargetMode = "External"/>
	<Relationship Id="rId295" Type="http://schemas.openxmlformats.org/officeDocument/2006/relationships/hyperlink" Target="https://login.consultant.ru/link/?req=doc&amp;base=LAW&amp;n=451749" TargetMode = "External"/>
	<Relationship Id="rId296" Type="http://schemas.openxmlformats.org/officeDocument/2006/relationships/hyperlink" Target="https://login.consultant.ru/link/?req=doc&amp;base=LAW&amp;n=445240&amp;dst=100035" TargetMode = "External"/>
	<Relationship Id="rId297" Type="http://schemas.openxmlformats.org/officeDocument/2006/relationships/hyperlink" Target="https://login.consultant.ru/link/?req=doc&amp;base=LAW&amp;n=449455&amp;dst=356" TargetMode = "External"/>
	<Relationship Id="rId298" Type="http://schemas.openxmlformats.org/officeDocument/2006/relationships/hyperlink" Target="https://login.consultant.ru/link/?req=doc&amp;base=LAW&amp;n=449455&amp;dst=367" TargetMode = "External"/>
	<Relationship Id="rId299" Type="http://schemas.openxmlformats.org/officeDocument/2006/relationships/hyperlink" Target="https://login.consultant.ru/link/?req=doc&amp;base=LAW&amp;n=468048&amp;dst=100175" TargetMode = "External"/>
	<Relationship Id="rId300" Type="http://schemas.openxmlformats.org/officeDocument/2006/relationships/hyperlink" Target="https://login.consultant.ru/link/?req=doc&amp;base=LAW&amp;n=468048&amp;dst=100191" TargetMode = "External"/>
	<Relationship Id="rId301" Type="http://schemas.openxmlformats.org/officeDocument/2006/relationships/hyperlink" Target="https://login.consultant.ru/link/?req=doc&amp;base=LAW&amp;n=468048&amp;dst=100191" TargetMode = "External"/>
	<Relationship Id="rId302" Type="http://schemas.openxmlformats.org/officeDocument/2006/relationships/hyperlink" Target="https://login.consultant.ru/link/?req=doc&amp;base=LAW&amp;n=468048&amp;dst=7" TargetMode = "External"/>
	<Relationship Id="rId303" Type="http://schemas.openxmlformats.org/officeDocument/2006/relationships/hyperlink" Target="https://login.consultant.ru/link/?req=doc&amp;base=LAW&amp;n=468048&amp;dst=22" TargetMode = "External"/>
	<Relationship Id="rId304" Type="http://schemas.openxmlformats.org/officeDocument/2006/relationships/hyperlink" Target="https://login.consultant.ru/link/?req=doc&amp;base=LAW&amp;n=468048&amp;dst=100191" TargetMode = "External"/>
	<Relationship Id="rId305" Type="http://schemas.openxmlformats.org/officeDocument/2006/relationships/hyperlink" Target="https://login.consultant.ru/link/?req=doc&amp;base=LAW&amp;n=468048&amp;dst=100192" TargetMode = "External"/>
	<Relationship Id="rId306" Type="http://schemas.openxmlformats.org/officeDocument/2006/relationships/hyperlink" Target="https://login.consultant.ru/link/?req=doc&amp;base=LAW&amp;n=468048&amp;dst=100210" TargetMode = "External"/>
	<Relationship Id="rId307" Type="http://schemas.openxmlformats.org/officeDocument/2006/relationships/hyperlink" Target="https://login.consultant.ru/link/?req=doc&amp;base=LAW&amp;n=449455&amp;dst=102359" TargetMode = "External"/>
	<Relationship Id="rId308" Type="http://schemas.openxmlformats.org/officeDocument/2006/relationships/hyperlink" Target="https://login.consultant.ru/link/?req=doc&amp;base=LAW&amp;n=468048&amp;dst=100191" TargetMode = "External"/>
	<Relationship Id="rId309" Type="http://schemas.openxmlformats.org/officeDocument/2006/relationships/hyperlink" Target="https://login.consultant.ru/link/?req=doc&amp;base=LAW&amp;n=468048&amp;dst=100191" TargetMode = "External"/>
	<Relationship Id="rId310" Type="http://schemas.openxmlformats.org/officeDocument/2006/relationships/hyperlink" Target="https://login.consultant.ru/link/?req=doc&amp;base=LAW&amp;n=389806" TargetMode = "External"/>
	<Relationship Id="rId311" Type="http://schemas.openxmlformats.org/officeDocument/2006/relationships/hyperlink" Target="https://login.consultant.ru/link/?req=doc&amp;base=LAW&amp;n=389806" TargetMode = "External"/>
	<Relationship Id="rId312" Type="http://schemas.openxmlformats.org/officeDocument/2006/relationships/hyperlink" Target="https://login.consultant.ru/link/?req=doc&amp;base=LAW&amp;n=468048&amp;dst=100192" TargetMode = "External"/>
	<Relationship Id="rId313" Type="http://schemas.openxmlformats.org/officeDocument/2006/relationships/hyperlink" Target="https://login.consultant.ru/link/?req=doc&amp;base=LAW&amp;n=454029" TargetMode = "External"/>
	<Relationship Id="rId314" Type="http://schemas.openxmlformats.org/officeDocument/2006/relationships/hyperlink" Target="https://login.consultant.ru/link/?req=doc&amp;base=LAW&amp;n=468048&amp;dst=100194" TargetMode = "External"/>
	<Relationship Id="rId315" Type="http://schemas.openxmlformats.org/officeDocument/2006/relationships/hyperlink" Target="https://login.consultant.ru/link/?req=doc&amp;base=LAW&amp;n=468048&amp;dst=100195" TargetMode = "External"/>
	<Relationship Id="rId316" Type="http://schemas.openxmlformats.org/officeDocument/2006/relationships/hyperlink" Target="https://login.consultant.ru/link/?req=doc&amp;base=LAW&amp;n=468048&amp;dst=100216" TargetMode = "External"/>
	<Relationship Id="rId317" Type="http://schemas.openxmlformats.org/officeDocument/2006/relationships/hyperlink" Target="https://login.consultant.ru/link/?req=doc&amp;base=LAW&amp;n=468048&amp;dst=100191" TargetMode = "External"/>
	<Relationship Id="rId318" Type="http://schemas.openxmlformats.org/officeDocument/2006/relationships/hyperlink" Target="https://login.consultant.ru/link/?req=doc&amp;base=LAW&amp;n=468048&amp;dst=100191" TargetMode = "External"/>
	<Relationship Id="rId319" Type="http://schemas.openxmlformats.org/officeDocument/2006/relationships/hyperlink" Target="https://login.consultant.ru/link/?req=doc&amp;base=LAW&amp;n=468048&amp;dst=100198" TargetMode = "External"/>
	<Relationship Id="rId320" Type="http://schemas.openxmlformats.org/officeDocument/2006/relationships/hyperlink" Target="https://login.consultant.ru/link/?req=doc&amp;base=LAW&amp;n=468048&amp;dst=100198" TargetMode = "External"/>
	<Relationship Id="rId321" Type="http://schemas.openxmlformats.org/officeDocument/2006/relationships/hyperlink" Target="https://login.consultant.ru/link/?req=doc&amp;base=LAW&amp;n=468048&amp;dst=100210" TargetMode = "External"/>
	<Relationship Id="rId322" Type="http://schemas.openxmlformats.org/officeDocument/2006/relationships/hyperlink" Target="https://login.consultant.ru/link/?req=doc&amp;base=LAW&amp;n=468048&amp;dst=100210" TargetMode = "External"/>
	<Relationship Id="rId323" Type="http://schemas.openxmlformats.org/officeDocument/2006/relationships/hyperlink" Target="https://login.consultant.ru/link/?req=doc&amp;base=LAW&amp;n=468048&amp;dst=100192" TargetMode = "External"/>
	<Relationship Id="rId324" Type="http://schemas.openxmlformats.org/officeDocument/2006/relationships/hyperlink" Target="https://login.consultant.ru/link/?req=doc&amp;base=LAW&amp;n=468048&amp;dst=100214" TargetMode = "External"/>
	<Relationship Id="rId325" Type="http://schemas.openxmlformats.org/officeDocument/2006/relationships/hyperlink" Target="https://login.consultant.ru/link/?req=doc&amp;base=LAW&amp;n=468048&amp;dst=100214" TargetMode = "External"/>
	<Relationship Id="rId326" Type="http://schemas.openxmlformats.org/officeDocument/2006/relationships/hyperlink" Target="https://login.consultant.ru/link/?req=doc&amp;base=LAW&amp;n=468048&amp;dst=100214" TargetMode = "External"/>
	<Relationship Id="rId327" Type="http://schemas.openxmlformats.org/officeDocument/2006/relationships/hyperlink" Target="https://login.consultant.ru/link/?req=doc&amp;base=LAW&amp;n=468048&amp;dst=100216" TargetMode = "External"/>
	<Relationship Id="rId328" Type="http://schemas.openxmlformats.org/officeDocument/2006/relationships/hyperlink" Target="https://login.consultant.ru/link/?req=doc&amp;base=LAW&amp;n=468048&amp;dst=100216" TargetMode = "External"/>
	<Relationship Id="rId329" Type="http://schemas.openxmlformats.org/officeDocument/2006/relationships/hyperlink" Target="https://login.consultant.ru/link/?req=doc&amp;base=LAW&amp;n=468048&amp;dst=100216" TargetMode = "External"/>
	<Relationship Id="rId330" Type="http://schemas.openxmlformats.org/officeDocument/2006/relationships/hyperlink" Target="https://login.consultant.ru/link/?req=doc&amp;base=LAW&amp;n=451740" TargetMode = "External"/>
	<Relationship Id="rId331" Type="http://schemas.openxmlformats.org/officeDocument/2006/relationships/hyperlink" Target="https://login.consultant.ru/link/?req=doc&amp;base=LAW&amp;n=427624" TargetMode = "External"/>
	<Relationship Id="rId332" Type="http://schemas.openxmlformats.org/officeDocument/2006/relationships/hyperlink" Target="https://login.consultant.ru/link/?req=doc&amp;base=LAW&amp;n=468048&amp;dst=100230" TargetMode = "External"/>
	<Relationship Id="rId333" Type="http://schemas.openxmlformats.org/officeDocument/2006/relationships/hyperlink" Target="https://login.consultant.ru/link/?req=doc&amp;base=LAW&amp;n=468048&amp;dst=100231" TargetMode = "External"/>
	<Relationship Id="rId334" Type="http://schemas.openxmlformats.org/officeDocument/2006/relationships/hyperlink" Target="https://login.consultant.ru/link/?req=doc&amp;base=LAW&amp;n=468048&amp;dst=100231" TargetMode = "External"/>
	<Relationship Id="rId335" Type="http://schemas.openxmlformats.org/officeDocument/2006/relationships/hyperlink" Target="https://login.consultant.ru/link/?req=doc&amp;base=LAW&amp;n=468048&amp;dst=100231" TargetMode = "External"/>
	<Relationship Id="rId336" Type="http://schemas.openxmlformats.org/officeDocument/2006/relationships/hyperlink" Target="https://login.consultant.ru/link/?req=doc&amp;base=LAW&amp;n=468048&amp;dst=100231" TargetMode = "External"/>
	<Relationship Id="rId337" Type="http://schemas.openxmlformats.org/officeDocument/2006/relationships/hyperlink" Target="https://login.consultant.ru/link/?req=doc&amp;base=LAW&amp;n=468048&amp;dst=100231" TargetMode = "External"/>
	<Relationship Id="rId338" Type="http://schemas.openxmlformats.org/officeDocument/2006/relationships/hyperlink" Target="https://login.consultant.ru/link/?req=doc&amp;base=LAW&amp;n=468048&amp;dst=100105" TargetMode = "External"/>
	<Relationship Id="rId339" Type="http://schemas.openxmlformats.org/officeDocument/2006/relationships/hyperlink" Target="https://login.consultant.ru/link/?req=doc&amp;base=LAW&amp;n=468048&amp;dst=100105" TargetMode = "External"/>
	<Relationship Id="rId340" Type="http://schemas.openxmlformats.org/officeDocument/2006/relationships/hyperlink" Target="https://login.consultant.ru/link/?req=doc&amp;base=LAW&amp;n=468048&amp;dst=100231" TargetMode = "External"/>
	<Relationship Id="rId341" Type="http://schemas.openxmlformats.org/officeDocument/2006/relationships/hyperlink" Target="https://login.consultant.ru/link/?req=doc&amp;base=LAW&amp;n=468048&amp;dst=100231" TargetMode = "External"/>
	<Relationship Id="rId342" Type="http://schemas.openxmlformats.org/officeDocument/2006/relationships/hyperlink" Target="https://login.consultant.ru/link/?req=doc&amp;base=LAW&amp;n=468048&amp;dst=100233" TargetMode = "External"/>
	<Relationship Id="rId343" Type="http://schemas.openxmlformats.org/officeDocument/2006/relationships/hyperlink" Target="https://login.consultant.ru/link/?req=doc&amp;base=LAW&amp;n=468048&amp;dst=100234" TargetMode = "External"/>
	<Relationship Id="rId344" Type="http://schemas.openxmlformats.org/officeDocument/2006/relationships/hyperlink" Target="https://login.consultant.ru/link/?req=doc&amp;base=LAW&amp;n=468048&amp;dst=100235" TargetMode = "External"/>
	<Relationship Id="rId345" Type="http://schemas.openxmlformats.org/officeDocument/2006/relationships/hyperlink" Target="https://login.consultant.ru/link/?req=doc&amp;base=LAW&amp;n=468048&amp;dst=100231" TargetMode = "External"/>
	<Relationship Id="rId346" Type="http://schemas.openxmlformats.org/officeDocument/2006/relationships/hyperlink" Target="https://login.consultant.ru/link/?req=doc&amp;base=LAW&amp;n=468048&amp;dst=100105" TargetMode = "External"/>
	<Relationship Id="rId347" Type="http://schemas.openxmlformats.org/officeDocument/2006/relationships/hyperlink" Target="https://login.consultant.ru/link/?req=doc&amp;base=LAW&amp;n=468048&amp;dst=100231" TargetMode = "External"/>
	<Relationship Id="rId348" Type="http://schemas.openxmlformats.org/officeDocument/2006/relationships/hyperlink" Target="https://login.consultant.ru/link/?req=doc&amp;base=LAW&amp;n=468048&amp;dst=100105" TargetMode = "External"/>
	<Relationship Id="rId349" Type="http://schemas.openxmlformats.org/officeDocument/2006/relationships/hyperlink" Target="https://login.consultant.ru/link/?req=doc&amp;base=LAW&amp;n=468048&amp;dst=100231" TargetMode = "External"/>
	<Relationship Id="rId350" Type="http://schemas.openxmlformats.org/officeDocument/2006/relationships/hyperlink" Target="https://login.consultant.ru/link/?req=doc&amp;base=LAW&amp;n=468048&amp;dst=100237" TargetMode = "External"/>
	<Relationship Id="rId351" Type="http://schemas.openxmlformats.org/officeDocument/2006/relationships/hyperlink" Target="https://login.consultant.ru/link/?req=doc&amp;base=LAW&amp;n=468048&amp;dst=100247" TargetMode = "External"/>
	<Relationship Id="rId352" Type="http://schemas.openxmlformats.org/officeDocument/2006/relationships/hyperlink" Target="https://login.consultant.ru/link/?req=doc&amp;base=LAW&amp;n=468048&amp;dst=100247" TargetMode = "External"/>
	<Relationship Id="rId353" Type="http://schemas.openxmlformats.org/officeDocument/2006/relationships/hyperlink" Target="https://login.consultant.ru/link/?req=doc&amp;base=LAW&amp;n=468048&amp;dst=100247" TargetMode = "External"/>
	<Relationship Id="rId354" Type="http://schemas.openxmlformats.org/officeDocument/2006/relationships/hyperlink" Target="https://login.consultant.ru/link/?req=doc&amp;base=LAW&amp;n=468048&amp;dst=100247" TargetMode = "External"/>
	<Relationship Id="rId355" Type="http://schemas.openxmlformats.org/officeDocument/2006/relationships/hyperlink" Target="https://login.consultant.ru/link/?req=doc&amp;base=LAW&amp;n=468048&amp;dst=100249" TargetMode = "External"/>
	<Relationship Id="rId356" Type="http://schemas.openxmlformats.org/officeDocument/2006/relationships/hyperlink" Target="https://login.consultant.ru/link/?req=doc&amp;base=LAW&amp;n=468048&amp;dst=100250" TargetMode = "External"/>
	<Relationship Id="rId357" Type="http://schemas.openxmlformats.org/officeDocument/2006/relationships/hyperlink" Target="https://login.consultant.ru/link/?req=doc&amp;base=LAW&amp;n=468048&amp;dst=100250" TargetMode = "External"/>
	<Relationship Id="rId358" Type="http://schemas.openxmlformats.org/officeDocument/2006/relationships/hyperlink" Target="https://login.consultant.ru/link/?req=doc&amp;base=LAW&amp;n=468048&amp;dst=100250" TargetMode = "External"/>
	<Relationship Id="rId359" Type="http://schemas.openxmlformats.org/officeDocument/2006/relationships/hyperlink" Target="https://login.consultant.ru/link/?req=doc&amp;base=LAW&amp;n=468048&amp;dst=100251" TargetMode = "External"/>
	<Relationship Id="rId360" Type="http://schemas.openxmlformats.org/officeDocument/2006/relationships/hyperlink" Target="https://login.consultant.ru/link/?req=doc&amp;base=LAW&amp;n=468048&amp;dst=100252" TargetMode = "External"/>
	<Relationship Id="rId361" Type="http://schemas.openxmlformats.org/officeDocument/2006/relationships/hyperlink" Target="https://login.consultant.ru/link/?req=doc&amp;base=LAW&amp;n=468048&amp;dst=100253" TargetMode = "External"/>
	<Relationship Id="rId362" Type="http://schemas.openxmlformats.org/officeDocument/2006/relationships/hyperlink" Target="https://login.consultant.ru/link/?req=doc&amp;base=LAW&amp;n=465780" TargetMode = "External"/>
	<Relationship Id="rId363" Type="http://schemas.openxmlformats.org/officeDocument/2006/relationships/hyperlink" Target="https://login.consultant.ru/link/?req=doc&amp;base=LAW&amp;n=468048&amp;dst=100247" TargetMode = "External"/>
	<Relationship Id="rId364" Type="http://schemas.openxmlformats.org/officeDocument/2006/relationships/hyperlink" Target="https://login.consultant.ru/link/?req=doc&amp;base=LAW&amp;n=468048&amp;dst=100247" TargetMode = "External"/>
	<Relationship Id="rId365" Type="http://schemas.openxmlformats.org/officeDocument/2006/relationships/hyperlink" Target="https://login.consultant.ru/link/?req=doc&amp;base=LAW&amp;n=389806" TargetMode = "External"/>
	<Relationship Id="rId366" Type="http://schemas.openxmlformats.org/officeDocument/2006/relationships/hyperlink" Target="https://login.consultant.ru/link/?req=doc&amp;base=LAW&amp;n=468048&amp;dst=100247" TargetMode = "External"/>
	<Relationship Id="rId367" Type="http://schemas.openxmlformats.org/officeDocument/2006/relationships/hyperlink" Target="https://login.consultant.ru/link/?req=doc&amp;base=LAW&amp;n=468048&amp;dst=100247" TargetMode = "External"/>
	<Relationship Id="rId368" Type="http://schemas.openxmlformats.org/officeDocument/2006/relationships/hyperlink" Target="https://login.consultant.ru/link/?req=doc&amp;base=LAW&amp;n=468048&amp;dst=100250" TargetMode = "External"/>
	<Relationship Id="rId369" Type="http://schemas.openxmlformats.org/officeDocument/2006/relationships/hyperlink" Target="https://login.consultant.ru/link/?req=doc&amp;base=LAW&amp;n=468048&amp;dst=100253" TargetMode = "External"/>
	<Relationship Id="rId370" Type="http://schemas.openxmlformats.org/officeDocument/2006/relationships/hyperlink" Target="https://login.consultant.ru/link/?req=doc&amp;base=LAW&amp;n=468048&amp;dst=100252" TargetMode = "External"/>
	<Relationship Id="rId371" Type="http://schemas.openxmlformats.org/officeDocument/2006/relationships/hyperlink" Target="https://login.consultant.ru/link/?req=doc&amp;base=LAW&amp;n=429477&amp;dst=100693" TargetMode = "External"/>
	<Relationship Id="rId372" Type="http://schemas.openxmlformats.org/officeDocument/2006/relationships/hyperlink" Target="https://login.consultant.ru/link/?req=doc&amp;base=LAW&amp;n=429477&amp;dst=100067" TargetMode = "External"/>
	<Relationship Id="rId373" Type="http://schemas.openxmlformats.org/officeDocument/2006/relationships/hyperlink" Target="https://login.consultant.ru/link/?req=doc&amp;base=LAW&amp;n=468048&amp;dst=100252" TargetMode = "External"/>
	<Relationship Id="rId374" Type="http://schemas.openxmlformats.org/officeDocument/2006/relationships/hyperlink" Target="https://login.consultant.ru/link/?req=doc&amp;base=LAW&amp;n=468048&amp;dst=100253" TargetMode = "External"/>
	<Relationship Id="rId375" Type="http://schemas.openxmlformats.org/officeDocument/2006/relationships/hyperlink" Target="https://login.consultant.ru/link/?req=doc&amp;base=LAW&amp;n=454108" TargetMode = "External"/>
	<Relationship Id="rId376" Type="http://schemas.openxmlformats.org/officeDocument/2006/relationships/hyperlink" Target="https://login.consultant.ru/link/?req=doc&amp;base=LAW&amp;n=454108" TargetMode = "External"/>
	<Relationship Id="rId377" Type="http://schemas.openxmlformats.org/officeDocument/2006/relationships/hyperlink" Target="https://login.consultant.ru/link/?req=doc&amp;base=LAW&amp;n=468048&amp;dst=100247" TargetMode = "External"/>
	<Relationship Id="rId378" Type="http://schemas.openxmlformats.org/officeDocument/2006/relationships/hyperlink" Target="https://login.consultant.ru/link/?req=doc&amp;base=LAW&amp;n=468048&amp;dst=100247" TargetMode = "External"/>
	<Relationship Id="rId379" Type="http://schemas.openxmlformats.org/officeDocument/2006/relationships/hyperlink" Target="https://login.consultant.ru/link/?req=doc&amp;base=LAW&amp;n=468048&amp;dst=100249" TargetMode = "External"/>
	<Relationship Id="rId380" Type="http://schemas.openxmlformats.org/officeDocument/2006/relationships/hyperlink" Target="https://login.consultant.ru/link/?req=doc&amp;base=LAW&amp;n=468048&amp;dst=100250" TargetMode = "External"/>
	<Relationship Id="rId381" Type="http://schemas.openxmlformats.org/officeDocument/2006/relationships/hyperlink" Target="https://login.consultant.ru/link/?req=doc&amp;base=LAW&amp;n=468048&amp;dst=100252" TargetMode = "External"/>
	<Relationship Id="rId382" Type="http://schemas.openxmlformats.org/officeDocument/2006/relationships/hyperlink" Target="https://login.consultant.ru/link/?req=doc&amp;base=LAW&amp;n=468048&amp;dst=100253" TargetMode = "External"/>
	<Relationship Id="rId383" Type="http://schemas.openxmlformats.org/officeDocument/2006/relationships/hyperlink" Target="https://login.consultant.ru/link/?req=doc&amp;base=LAW&amp;n=389806" TargetMode = "External"/>
	<Relationship Id="rId384" Type="http://schemas.openxmlformats.org/officeDocument/2006/relationships/hyperlink" Target="https://login.consultant.ru/link/?req=doc&amp;base=LAW&amp;n=389806" TargetMode = "External"/>
	<Relationship Id="rId385" Type="http://schemas.openxmlformats.org/officeDocument/2006/relationships/hyperlink" Target="https://login.consultant.ru/link/?req=doc&amp;base=LAW&amp;n=454108" TargetMode = "External"/>
	<Relationship Id="rId386" Type="http://schemas.openxmlformats.org/officeDocument/2006/relationships/hyperlink" Target="https://login.consultant.ru/link/?req=doc&amp;base=LAW&amp;n=468048&amp;dst=100247" TargetMode = "External"/>
	<Relationship Id="rId387" Type="http://schemas.openxmlformats.org/officeDocument/2006/relationships/hyperlink" Target="https://login.consultant.ru/link/?req=doc&amp;base=LAW&amp;n=468048&amp;dst=119" TargetMode = "External"/>
	<Relationship Id="rId388" Type="http://schemas.openxmlformats.org/officeDocument/2006/relationships/hyperlink" Target="https://login.consultant.ru/link/?req=doc&amp;base=LAW&amp;n=468048&amp;dst=119" TargetMode = "External"/>
	<Relationship Id="rId389" Type="http://schemas.openxmlformats.org/officeDocument/2006/relationships/hyperlink" Target="https://login.consultant.ru/link/?req=doc&amp;base=LAW&amp;n=468048&amp;dst=119" TargetMode = "External"/>
	<Relationship Id="rId390" Type="http://schemas.openxmlformats.org/officeDocument/2006/relationships/hyperlink" Target="https://login.consultant.ru/link/?req=doc&amp;base=LAW&amp;n=468048&amp;dst=119" TargetMode = "External"/>
	<Relationship Id="rId391" Type="http://schemas.openxmlformats.org/officeDocument/2006/relationships/hyperlink" Target="https://login.consultant.ru/link/?req=doc&amp;base=LAW&amp;n=468048&amp;dst=119" TargetMode = "External"/>
	<Relationship Id="rId392" Type="http://schemas.openxmlformats.org/officeDocument/2006/relationships/hyperlink" Target="https://login.consultant.ru/link/?req=doc&amp;base=LAW&amp;n=468048&amp;dst=119" TargetMode = "External"/>
	<Relationship Id="rId393" Type="http://schemas.openxmlformats.org/officeDocument/2006/relationships/hyperlink" Target="https://login.consultant.ru/link/?req=doc&amp;base=LAW&amp;n=468048&amp;dst=128" TargetMode = "External"/>
	<Relationship Id="rId394" Type="http://schemas.openxmlformats.org/officeDocument/2006/relationships/hyperlink" Target="https://login.consultant.ru/link/?req=doc&amp;base=LAW&amp;n=468048&amp;dst=133" TargetMode = "External"/>
	<Relationship Id="rId395" Type="http://schemas.openxmlformats.org/officeDocument/2006/relationships/hyperlink" Target="https://login.consultant.ru/link/?req=doc&amp;base=LAW&amp;n=468048&amp;dst=138" TargetMode = "External"/>
	<Relationship Id="rId396" Type="http://schemas.openxmlformats.org/officeDocument/2006/relationships/hyperlink" Target="https://login.consultant.ru/link/?req=doc&amp;base=LAW&amp;n=468048&amp;dst=143" TargetMode = "External"/>
	<Relationship Id="rId397" Type="http://schemas.openxmlformats.org/officeDocument/2006/relationships/hyperlink" Target="https://login.consultant.ru/link/?req=doc&amp;base=LAW&amp;n=468048&amp;dst=148" TargetMode = "External"/>
	<Relationship Id="rId398" Type="http://schemas.openxmlformats.org/officeDocument/2006/relationships/hyperlink" Target="https://login.consultant.ru/link/?req=doc&amp;base=LAW&amp;n=468048&amp;dst=153" TargetMode = "External"/>
	<Relationship Id="rId399" Type="http://schemas.openxmlformats.org/officeDocument/2006/relationships/hyperlink" Target="https://login.consultant.ru/link/?req=doc&amp;base=LAW&amp;n=468048&amp;dst=158" TargetMode = "External"/>
	<Relationship Id="rId400" Type="http://schemas.openxmlformats.org/officeDocument/2006/relationships/hyperlink" Target="https://login.consultant.ru/link/?req=doc&amp;base=LAW&amp;n=468048&amp;dst=163" TargetMode = "External"/>
	<Relationship Id="rId401" Type="http://schemas.openxmlformats.org/officeDocument/2006/relationships/hyperlink" Target="https://login.consultant.ru/link/?req=doc&amp;base=LAW&amp;n=468048&amp;dst=122" TargetMode = "External"/>
	<Relationship Id="rId402" Type="http://schemas.openxmlformats.org/officeDocument/2006/relationships/hyperlink" Target="https://login.consultant.ru/link/?req=doc&amp;base=LAW&amp;n=468048&amp;dst=122" TargetMode = "External"/>
	<Relationship Id="rId403" Type="http://schemas.openxmlformats.org/officeDocument/2006/relationships/hyperlink" Target="https://login.consultant.ru/link/?req=doc&amp;base=LAW&amp;n=468048&amp;dst=12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4023.00.53</Application>
  <Company>КонсультантПлюс Версия 4023.00.53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2024 году (за отчетный 2023 год)"
(утв. Минтрудом России)</dc:title>
  <dcterms:created xsi:type="dcterms:W3CDTF">2024-03-13T10:14:16Z</dcterms:created>
</cp:coreProperties>
</file>